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501BF" w14:textId="77777777" w:rsidR="002F7CD0" w:rsidRDefault="00000000">
      <w:pPr>
        <w:spacing w:after="80"/>
      </w:pPr>
      <w:r>
        <w:rPr>
          <w:b/>
          <w:bCs/>
          <w:color w:val="1F3864"/>
          <w:sz w:val="40"/>
          <w:szCs w:val="40"/>
        </w:rPr>
        <w:t>When the Data Center Became a Power Plant Problem</w:t>
      </w:r>
    </w:p>
    <w:p w14:paraId="0BB0CB71" w14:textId="77777777" w:rsidR="002F7CD0" w:rsidRDefault="00000000">
      <w:pPr>
        <w:spacing w:after="80"/>
      </w:pPr>
      <w:r>
        <w:rPr>
          <w:i/>
          <w:iCs/>
          <w:color w:val="2E75B6"/>
          <w:sz w:val="26"/>
          <w:szCs w:val="26"/>
        </w:rPr>
        <w:t>Large Load Interconnection: From Local Utility Concern to Federal Mandate</w:t>
      </w:r>
    </w:p>
    <w:p w14:paraId="1879535E" w14:textId="77777777" w:rsidR="002F7CD0" w:rsidRDefault="00000000">
      <w:pPr>
        <w:spacing w:after="240"/>
      </w:pPr>
      <w:r>
        <w:rPr>
          <w:color w:val="595959"/>
          <w:sz w:val="19"/>
          <w:szCs w:val="19"/>
        </w:rPr>
        <w:t xml:space="preserve">Updated October </w:t>
      </w:r>
      <w:proofErr w:type="gramStart"/>
      <w:r>
        <w:rPr>
          <w:color w:val="595959"/>
          <w:sz w:val="19"/>
          <w:szCs w:val="19"/>
        </w:rPr>
        <w:t>2026  |</w:t>
      </w:r>
      <w:proofErr w:type="gramEnd"/>
      <w:r>
        <w:rPr>
          <w:color w:val="595959"/>
          <w:sz w:val="19"/>
          <w:szCs w:val="19"/>
        </w:rPr>
        <w:t xml:space="preserve">  FERC · DOE · NERC · PJM · MISO · SPP · ERCOT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F7CD0" w14:paraId="0BB3AF91" w14:textId="77777777">
        <w:tblPrEx>
          <w:tblCellMar>
            <w:top w:w="0" w:type="dxa"/>
            <w:bottom w:w="0" w:type="dxa"/>
          </w:tblCellMar>
        </w:tblPrEx>
        <w:tc>
          <w:tcPr>
            <w:tcW w:w="9360" w:type="dxa"/>
            <w:tcBorders>
              <w:top w:val="single" w:sz="4" w:space="0" w:color="2E75B6"/>
              <w:left w:val="single" w:sz="4" w:space="0" w:color="2E75B6"/>
              <w:bottom w:val="single" w:sz="4" w:space="0" w:color="2E75B6"/>
              <w:right w:val="single" w:sz="4" w:space="0" w:color="2E75B6"/>
            </w:tcBorders>
            <w:shd w:val="clear" w:color="auto" w:fill="EAF1FB"/>
            <w:tcMar>
              <w:top w:w="140" w:type="dxa"/>
              <w:left w:w="200" w:type="dxa"/>
              <w:bottom w:w="140" w:type="dxa"/>
              <w:right w:w="200" w:type="dxa"/>
            </w:tcMar>
          </w:tcPr>
          <w:p w14:paraId="01800229" w14:textId="77777777" w:rsidR="002F7CD0" w:rsidRDefault="00000000">
            <w:pPr>
              <w:spacing w:after="100"/>
            </w:pPr>
            <w:r>
              <w:rPr>
                <w:b/>
                <w:bCs/>
                <w:color w:val="1F3864"/>
                <w:sz w:val="23"/>
                <w:szCs w:val="23"/>
              </w:rPr>
              <w:t>What changed since the May 2026 version</w:t>
            </w:r>
          </w:p>
          <w:p w14:paraId="26DF9D89" w14:textId="77777777" w:rsidR="002F7CD0" w:rsidRDefault="00000000">
            <w:pPr>
              <w:pStyle w:val="ListParagraph"/>
              <w:numPr>
                <w:ilvl w:val="0"/>
                <w:numId w:val="2"/>
              </w:numPr>
              <w:spacing w:after="60"/>
            </w:pPr>
            <w:r>
              <w:rPr>
                <w:sz w:val="20"/>
                <w:szCs w:val="20"/>
              </w:rPr>
              <w:t xml:space="preserve">FERC did not issue a national rule. On June 18, </w:t>
            </w:r>
            <w:proofErr w:type="gramStart"/>
            <w:r>
              <w:rPr>
                <w:sz w:val="20"/>
                <w:szCs w:val="20"/>
              </w:rPr>
              <w:t>2026</w:t>
            </w:r>
            <w:proofErr w:type="gramEnd"/>
            <w:r>
              <w:rPr>
                <w:sz w:val="20"/>
                <w:szCs w:val="20"/>
              </w:rPr>
              <w:t xml:space="preserve"> it issued six Section 206 show-cause orders, one per RTO/ISO; all six moved for abeyance and Section 205 tariff filings are now expected around mid-November 2026.</w:t>
            </w:r>
          </w:p>
          <w:p w14:paraId="6BAB64EA" w14:textId="77777777" w:rsidR="002F7CD0" w:rsidRDefault="00000000">
            <w:pPr>
              <w:pStyle w:val="ListParagraph"/>
              <w:numPr>
                <w:ilvl w:val="0"/>
                <w:numId w:val="2"/>
              </w:numPr>
              <w:spacing w:after="60"/>
            </w:pPr>
            <w:r>
              <w:rPr>
                <w:sz w:val="20"/>
                <w:szCs w:val="20"/>
              </w:rPr>
              <w:t>PJM moved from co-location rules to a "bring your own capacity or be curtailed first" regime (IRAS, filed August 13, 2026), plus a one-time backstop capacity auction.</w:t>
            </w:r>
          </w:p>
          <w:p w14:paraId="294B49AD" w14:textId="77777777" w:rsidR="002F7CD0" w:rsidRDefault="00000000">
            <w:pPr>
              <w:pStyle w:val="ListParagraph"/>
              <w:numPr>
                <w:ilvl w:val="0"/>
                <w:numId w:val="2"/>
              </w:numPr>
              <w:spacing w:after="60"/>
            </w:pPr>
            <w:r>
              <w:rPr>
                <w:sz w:val="20"/>
                <w:szCs w:val="20"/>
              </w:rPr>
              <w:t>MISO proposed LARS, a 120-day parallel study for 250 MW+ loads paired with contracted generation; SPP’s HILL/CHILLS framework is live.</w:t>
            </w:r>
          </w:p>
          <w:p w14:paraId="485639DB" w14:textId="77777777" w:rsidR="002F7CD0" w:rsidRDefault="00000000">
            <w:pPr>
              <w:pStyle w:val="ListParagraph"/>
              <w:numPr>
                <w:ilvl w:val="0"/>
                <w:numId w:val="2"/>
              </w:numPr>
              <w:spacing w:after="60"/>
            </w:pPr>
            <w:r>
              <w:rPr>
                <w:sz w:val="20"/>
                <w:szCs w:val="20"/>
              </w:rPr>
              <w:t>NERC moved from voluntary guidance to mandatory rules: a rare Level 3 alert (May 2026), a FERC order requiring computational-load reliability standards by December 31, 2026, and a proposed new registration category for data centers ≥50 MW at ≥100 kV.</w:t>
            </w:r>
          </w:p>
          <w:p w14:paraId="2EF64F64" w14:textId="77777777" w:rsidR="002F7CD0" w:rsidRDefault="00000000">
            <w:pPr>
              <w:pStyle w:val="ListParagraph"/>
              <w:numPr>
                <w:ilvl w:val="0"/>
                <w:numId w:val="2"/>
              </w:numPr>
              <w:spacing w:after="60"/>
            </w:pPr>
            <w:r>
              <w:rPr>
                <w:sz w:val="20"/>
                <w:szCs w:val="20"/>
              </w:rPr>
              <w:t>Texas is moving on a parallel, state-law track: PUCT adopted SB 6 interconnection rules on September 18, 2026 ($100,000 study fee, $50,000/MW security), while a governor-ordered audit has paused new data center energizations in ERCOT until at least December.</w:t>
            </w:r>
          </w:p>
          <w:p w14:paraId="3A507816" w14:textId="77777777" w:rsidR="002F7CD0" w:rsidRDefault="00000000">
            <w:pPr>
              <w:pStyle w:val="ListParagraph"/>
              <w:numPr>
                <w:ilvl w:val="0"/>
                <w:numId w:val="2"/>
              </w:numPr>
              <w:spacing w:after="60"/>
            </w:pPr>
            <w:r>
              <w:rPr>
                <w:sz w:val="20"/>
                <w:szCs w:val="20"/>
              </w:rPr>
              <w:t>New closing section on state water policy for data centers (VA, TX, PA, KY, GA, CA, NM, MN, AZ and pending bills elsewhere).</w:t>
            </w:r>
          </w:p>
          <w:p w14:paraId="3C1BA5C8" w14:textId="77777777" w:rsidR="002F7CD0" w:rsidRDefault="00000000">
            <w:pPr>
              <w:pStyle w:val="ListParagraph"/>
              <w:numPr>
                <w:ilvl w:val="0"/>
                <w:numId w:val="2"/>
              </w:numPr>
              <w:spacing w:after="60"/>
            </w:pPr>
            <w:r>
              <w:rPr>
                <w:sz w:val="20"/>
                <w:szCs w:val="20"/>
              </w:rPr>
              <w:t>New sections: queue length and timelines, cluster-study costs by phase, co-location and bilateral supply policy, and who pays for grid upgrades.</w:t>
            </w:r>
          </w:p>
        </w:tc>
      </w:tr>
    </w:tbl>
    <w:p w14:paraId="07631337" w14:textId="77777777" w:rsidR="002F7CD0" w:rsidRDefault="002F7CD0">
      <w:pPr>
        <w:spacing w:after="120"/>
      </w:pPr>
    </w:p>
    <w:p w14:paraId="7EE4C7AB" w14:textId="77777777" w:rsidR="002F7CD0" w:rsidRDefault="00000000">
      <w:pPr>
        <w:pStyle w:val="Heading1"/>
        <w:pBdr>
          <w:bottom w:val="single" w:sz="6" w:space="4" w:color="2E75B6"/>
        </w:pBdr>
        <w:spacing w:before="320" w:after="140"/>
      </w:pPr>
      <w:r>
        <w:rPr>
          <w:b/>
          <w:bCs/>
          <w:color w:val="1F3864"/>
          <w:sz w:val="30"/>
          <w:szCs w:val="30"/>
        </w:rPr>
        <w:t>The Old World: Load Was a Local Matter</w:t>
      </w:r>
    </w:p>
    <w:p w14:paraId="29CCEF25" w14:textId="77777777" w:rsidR="002F7CD0" w:rsidRDefault="00000000">
      <w:pPr>
        <w:spacing w:after="140" w:line="288" w:lineRule="auto"/>
      </w:pPr>
      <w:r>
        <w:t>Traditionally, load interconnection — connecting a factory, campus, or industrial facility to the grid — was entirely the domain of the local distribution utility and, at most, the relevant state public utility commission. No interstate commerce was deemed involved. FERC’s jurisdiction simply did not extend there.</w:t>
      </w:r>
    </w:p>
    <w:p w14:paraId="35FF3A61" w14:textId="77777777" w:rsidR="002F7CD0" w:rsidRDefault="00000000">
      <w:pPr>
        <w:spacing w:after="140" w:line="288" w:lineRule="auto"/>
      </w:pPr>
      <w:r>
        <w:t>This made sense when loads were predictable, slowly growing, and geographically dispersed. A new commercial building in Ohio or a semiconductor fab in Arizona drew power from a local substation, triggered modest distribution upgrades, and had no material effect on neighboring states or grid regions.</w:t>
      </w:r>
    </w:p>
    <w:p w14:paraId="1B6F7036" w14:textId="77777777" w:rsidR="002F7CD0" w:rsidRDefault="00000000">
      <w:pPr>
        <w:spacing w:after="140" w:line="288" w:lineRule="auto"/>
      </w:pPr>
      <w:r>
        <w:t>AI data centers have shattered that assumption — permanently.</w:t>
      </w:r>
    </w:p>
    <w:p w14:paraId="1D307A59" w14:textId="77777777" w:rsidR="002F7CD0" w:rsidRDefault="00000000">
      <w:pPr>
        <w:pStyle w:val="Heading1"/>
        <w:pBdr>
          <w:bottom w:val="single" w:sz="6" w:space="4" w:color="2E75B6"/>
        </w:pBdr>
        <w:spacing w:before="320" w:after="140"/>
      </w:pPr>
      <w:r>
        <w:rPr>
          <w:b/>
          <w:bCs/>
          <w:color w:val="1F3864"/>
          <w:sz w:val="30"/>
          <w:szCs w:val="30"/>
        </w:rPr>
        <w:t>The New Reality: Gigawatt Loads That Cross State Lines (Electrically)</w:t>
      </w:r>
    </w:p>
    <w:p w14:paraId="67D25AAF" w14:textId="77777777" w:rsidR="002F7CD0" w:rsidRDefault="00000000">
      <w:pPr>
        <w:spacing w:after="140" w:line="288" w:lineRule="auto"/>
      </w:pPr>
      <w:r>
        <w:t xml:space="preserve">Today’s hyperscale AI campuses are not </w:t>
      </w:r>
      <w:proofErr w:type="gramStart"/>
      <w:r>
        <w:t>traditional</w:t>
      </w:r>
      <w:proofErr w:type="gramEnd"/>
      <w:r>
        <w:t xml:space="preserve"> </w:t>
      </w:r>
      <w:proofErr w:type="gramStart"/>
      <w:r>
        <w:t>loads</w:t>
      </w:r>
      <w:proofErr w:type="gramEnd"/>
      <w:r>
        <w:t xml:space="preserve">. A single hyperscale campus in Northern Virginia, Northern Indiana or Northern Illinois can represent 1–3 GW of demand — comparable to a medium-sized city. But unlike a city, whose load grows incrementally over decades, a data center </w:t>
      </w:r>
      <w:r>
        <w:lastRenderedPageBreak/>
        <w:t>campus can ramp from zero to hundreds of megawatts within months, with GPU clusters that create highly synchronized, rapidly variable demand profiles unlike anything distribution-era tariffs contemplated.</w:t>
      </w:r>
    </w:p>
    <w:p w14:paraId="0BEDC7D0" w14:textId="77777777" w:rsidR="002F7CD0" w:rsidRDefault="00000000">
      <w:pPr>
        <w:spacing w:after="140" w:line="288" w:lineRule="auto"/>
      </w:pPr>
      <w:r>
        <w:t>The grid physics are unforgiving. A 1 GW AI data center connected at 345 kV in PJM is not merely a local utility customer. Under stressed grid conditions — a transmission fault, a gas curtailment, a summer heat dome — that load will lean on PJM’s reserves and its neighboring balancing areas. The disturbances propagate. The reserve margins of MISO, NYISO, and neighboring utilities become implicated.</w:t>
      </w:r>
    </w:p>
    <w:p w14:paraId="3C17410B" w14:textId="77777777" w:rsidR="002F7CD0" w:rsidRDefault="00000000">
      <w:pPr>
        <w:pBdr>
          <w:left w:val="single" w:sz="18" w:space="10" w:color="2E75B6"/>
        </w:pBdr>
        <w:spacing w:before="120" w:after="160"/>
        <w:ind w:left="540" w:right="540"/>
      </w:pPr>
      <w:r>
        <w:rPr>
          <w:i/>
          <w:iCs/>
          <w:color w:val="595959"/>
        </w:rPr>
        <w:t>“When 60 data centers in Virginia tripped simultaneously to backup generators in 2024, it was automated grid controls that prevented a wider outage by quickly rebalancing power plants.” — Clean Energy Forum, Yale, 2025</w:t>
      </w:r>
    </w:p>
    <w:p w14:paraId="63270B9A" w14:textId="77777777" w:rsidR="002F7CD0" w:rsidRDefault="00000000">
      <w:pPr>
        <w:spacing w:after="140" w:line="288" w:lineRule="auto"/>
      </w:pPr>
      <w:r>
        <w:t xml:space="preserve">This is the core jurisdictional transformation: large AI data center loads are, in practice, interstate commerce participants </w:t>
      </w:r>
      <w:proofErr w:type="gramStart"/>
      <w:r>
        <w:t>whether or not</w:t>
      </w:r>
      <w:proofErr w:type="gramEnd"/>
      <w:r>
        <w:t xml:space="preserve"> they formally take transmission service as such. The legal fiction that load interconnection is purely a local matter collapsed under the weight of gigawatt-scale demand growth.</w:t>
      </w:r>
    </w:p>
    <w:p w14:paraId="6BF4ED28" w14:textId="77777777" w:rsidR="002F7CD0" w:rsidRDefault="00000000">
      <w:pPr>
        <w:pStyle w:val="Heading1"/>
        <w:pBdr>
          <w:bottom w:val="single" w:sz="6" w:space="4" w:color="2E75B6"/>
        </w:pBdr>
        <w:spacing w:before="320" w:after="140"/>
      </w:pPr>
      <w:r>
        <w:rPr>
          <w:b/>
          <w:bCs/>
          <w:color w:val="1F3864"/>
          <w:sz w:val="30"/>
          <w:szCs w:val="30"/>
        </w:rPr>
        <w:t>The Regulatory Response: From ANOPR to Six Show-Cause Orders</w:t>
      </w:r>
    </w:p>
    <w:p w14:paraId="2E3B0C0C" w14:textId="77777777" w:rsidR="002F7CD0" w:rsidRDefault="00000000">
      <w:pPr>
        <w:spacing w:after="140" w:line="288" w:lineRule="auto"/>
      </w:pPr>
      <w:r>
        <w:t>The regulatory response has been rapid and, by Washington standards, unusually coordinated — but it has not taken the form most observers expected.</w:t>
      </w:r>
    </w:p>
    <w:p w14:paraId="2A49ED38" w14:textId="77777777" w:rsidR="002F7CD0" w:rsidRDefault="00000000">
      <w:pPr>
        <w:pStyle w:val="Heading2"/>
        <w:spacing w:before="220" w:after="100"/>
      </w:pPr>
      <w:r>
        <w:rPr>
          <w:b/>
          <w:bCs/>
          <w:color w:val="2E75B6"/>
          <w:sz w:val="25"/>
          <w:szCs w:val="25"/>
        </w:rPr>
        <w:t>DOE’s Section 403 directive (October 2025)</w:t>
      </w:r>
    </w:p>
    <w:p w14:paraId="711E5468" w14:textId="77777777" w:rsidR="002F7CD0" w:rsidRDefault="00000000">
      <w:pPr>
        <w:spacing w:after="140" w:line="288" w:lineRule="auto"/>
      </w:pPr>
      <w:r>
        <w:t xml:space="preserve">On October 23, 2025, DOE Secretary Chris Wright invoked Section 403 of the DOE Organization Act — a rarely used authority — to direct FERC to consider </w:t>
      </w:r>
      <w:proofErr w:type="gramStart"/>
      <w:r>
        <w:t>an Advance</w:t>
      </w:r>
      <w:proofErr w:type="gramEnd"/>
      <w:r>
        <w:t xml:space="preserve"> Notice of Proposed Rulemaking (Docket RM26-4-000) on large load interconnection. The ANOPR set out 14 principles, proposed standardized procedures for loads above 20 MW connecting directly to transmission, asked whether flexible loads could be studied within 60 days, and asked whether large loads should pay the full cost of upgrades with or without later crediting. DOE requested final action by April 30, 2026.</w:t>
      </w:r>
    </w:p>
    <w:p w14:paraId="33991C88" w14:textId="77777777" w:rsidR="002F7CD0" w:rsidRDefault="00000000">
      <w:pPr>
        <w:pStyle w:val="Heading2"/>
        <w:spacing w:before="220" w:after="100"/>
      </w:pPr>
      <w:r>
        <w:rPr>
          <w:b/>
          <w:bCs/>
          <w:color w:val="2E75B6"/>
          <w:sz w:val="25"/>
          <w:szCs w:val="25"/>
        </w:rPr>
        <w:t>FERC’s answer: regional orders, not a national rule (June 18, 2026)</w:t>
      </w:r>
    </w:p>
    <w:p w14:paraId="13E865E6" w14:textId="77777777" w:rsidR="002F7CD0" w:rsidRDefault="00000000">
      <w:pPr>
        <w:spacing w:after="140" w:line="288" w:lineRule="auto"/>
      </w:pPr>
      <w:r>
        <w:t xml:space="preserve">FERC committed on April 16, </w:t>
      </w:r>
      <w:proofErr w:type="gramStart"/>
      <w:r>
        <w:t>2026</w:t>
      </w:r>
      <w:proofErr w:type="gramEnd"/>
      <w:r>
        <w:t xml:space="preserve"> to act by the end of June. On June 18 it acted — but instead of a final rule, it issued six tailored Section 206 show-cause orders to PJM (EL26-67), SPP (EL26-68), NYISO (EL26-69), MISO (EL26-70), CAISO (EL26-71) and ISO-NE (EL26-72). Each order preliminarily found the RTO’s tariff potentially unjust and unreasonable for lacking clear, consistent provisions for large and co-located loads, and required the RTO either to defend its tariff or propose fixes in five areas:</w:t>
      </w:r>
    </w:p>
    <w:p w14:paraId="5599EFE3" w14:textId="77777777" w:rsidR="002F7CD0" w:rsidRDefault="00000000">
      <w:pPr>
        <w:pStyle w:val="ListParagraph"/>
        <w:numPr>
          <w:ilvl w:val="0"/>
          <w:numId w:val="2"/>
        </w:numPr>
        <w:spacing w:after="90" w:line="276" w:lineRule="auto"/>
      </w:pPr>
      <w:r>
        <w:rPr>
          <w:b/>
          <w:bCs/>
        </w:rPr>
        <w:t xml:space="preserve">Application and study processes: </w:t>
      </w:r>
      <w:r>
        <w:t>a defined process and ongoing operating requirements for large-load transmission service, with alternative transmission technologies (dynamic line ratings, advanced conductors, power-flow control) considered before conventional upgrades.</w:t>
      </w:r>
    </w:p>
    <w:p w14:paraId="0D94AE4F" w14:textId="77777777" w:rsidR="002F7CD0" w:rsidRDefault="00000000">
      <w:pPr>
        <w:pStyle w:val="ListParagraph"/>
        <w:numPr>
          <w:ilvl w:val="0"/>
          <w:numId w:val="2"/>
        </w:numPr>
        <w:spacing w:after="90" w:line="276" w:lineRule="auto"/>
      </w:pPr>
      <w:r>
        <w:rPr>
          <w:b/>
          <w:bCs/>
        </w:rPr>
        <w:t xml:space="preserve">Cost transparency and cost-shifting protection: </w:t>
      </w:r>
      <w:r>
        <w:t xml:space="preserve">public data on load-driven network upgrades, </w:t>
      </w:r>
      <w:proofErr w:type="gramStart"/>
      <w:r>
        <w:t>pro forma</w:t>
      </w:r>
      <w:proofErr w:type="gramEnd"/>
      <w:r>
        <w:t xml:space="preserve"> cost recovery agreements, and financial security so upgrade costs do not migrate to other customers.</w:t>
      </w:r>
    </w:p>
    <w:p w14:paraId="1BEFD42F" w14:textId="77777777" w:rsidR="002F7CD0" w:rsidRDefault="00000000">
      <w:pPr>
        <w:pStyle w:val="ListParagraph"/>
        <w:numPr>
          <w:ilvl w:val="0"/>
          <w:numId w:val="2"/>
        </w:numPr>
        <w:spacing w:after="90" w:line="276" w:lineRule="auto"/>
      </w:pPr>
      <w:r>
        <w:rPr>
          <w:b/>
          <w:bCs/>
        </w:rPr>
        <w:t xml:space="preserve">Co-location arrangements: </w:t>
      </w:r>
      <w:r>
        <w:t>rates, terms and conditions for loads sited with generation.</w:t>
      </w:r>
    </w:p>
    <w:p w14:paraId="5AABCD7D" w14:textId="77777777" w:rsidR="002F7CD0" w:rsidRDefault="00000000">
      <w:pPr>
        <w:pStyle w:val="ListParagraph"/>
        <w:numPr>
          <w:ilvl w:val="0"/>
          <w:numId w:val="2"/>
        </w:numPr>
        <w:spacing w:after="90" w:line="276" w:lineRule="auto"/>
      </w:pPr>
      <w:r>
        <w:rPr>
          <w:b/>
          <w:bCs/>
        </w:rPr>
        <w:t xml:space="preserve">Flexible loads and behind-the-meter generation: </w:t>
      </w:r>
      <w:r>
        <w:t>transmission services that reflect a load’s willingness to curtail, including interim, as-available service while upgrades are built.</w:t>
      </w:r>
    </w:p>
    <w:p w14:paraId="0BF71A04" w14:textId="77777777" w:rsidR="002F7CD0" w:rsidRDefault="00000000">
      <w:pPr>
        <w:pStyle w:val="ListParagraph"/>
        <w:numPr>
          <w:ilvl w:val="0"/>
          <w:numId w:val="2"/>
        </w:numPr>
        <w:spacing w:after="90" w:line="276" w:lineRule="auto"/>
      </w:pPr>
      <w:r>
        <w:rPr>
          <w:b/>
          <w:bCs/>
        </w:rPr>
        <w:t xml:space="preserve">Electrically proximate load: </w:t>
      </w:r>
      <w:r>
        <w:t>rules for generators serving loads that are not on the same site but electrically equivalent — defined illustratively as no more than two substations away.</w:t>
      </w:r>
    </w:p>
    <w:p w14:paraId="21ADCA9F" w14:textId="77777777" w:rsidR="002F7CD0" w:rsidRDefault="00000000">
      <w:pPr>
        <w:spacing w:after="140" w:line="288" w:lineRule="auto"/>
      </w:pPr>
      <w:r>
        <w:t xml:space="preserve">The orders also required each RTO to file, by July 20, 2026, a report on how it will keep generation adequate for existing and new large loads. On threshold, FERC </w:t>
      </w:r>
      <w:proofErr w:type="spellStart"/>
      <w:r>
        <w:t>signalled</w:t>
      </w:r>
      <w:proofErr w:type="spellEnd"/>
      <w:r>
        <w:t xml:space="preserve"> that a large load on the order of 50 MW or more at transmission voltage would be a reasonable definition — materially above </w:t>
      </w:r>
      <w:proofErr w:type="gramStart"/>
      <w:r>
        <w:t>the ANOPR’s</w:t>
      </w:r>
      <w:proofErr w:type="gramEnd"/>
      <w:r>
        <w:t xml:space="preserve"> 20 MW. FERC expressly said it would not disturb agreements already negotiated, and left RM26-4 open for possible action covering non-RTO utilities.</w:t>
      </w:r>
    </w:p>
    <w:p w14:paraId="2342EDF6" w14:textId="77777777" w:rsidR="002F7CD0" w:rsidRDefault="00000000">
      <w:pPr>
        <w:spacing w:after="140" w:line="288" w:lineRule="auto"/>
      </w:pPr>
      <w:r>
        <w:t xml:space="preserve">Show-cause responses were due August 17, 2026. In practice, PJM and its transmission owners moved for a 90-day abeyance on July </w:t>
      </w:r>
      <w:proofErr w:type="gramStart"/>
      <w:r>
        <w:t>28</w:t>
      </w:r>
      <w:proofErr w:type="gramEnd"/>
      <w:r>
        <w:t xml:space="preserve"> and the other five RTOs followed on August 3, so the substantive Section 205 tariff proposals are expected around mid-November 2026. Stakeholder replies on what was filed were due September 16.</w:t>
      </w:r>
    </w:p>
    <w:p w14:paraId="59AFB2AF" w14:textId="77777777" w:rsidR="002F7CD0" w:rsidRDefault="00000000">
      <w:pPr>
        <w:pStyle w:val="Heading2"/>
        <w:spacing w:before="220" w:after="100"/>
      </w:pPr>
      <w:r>
        <w:rPr>
          <w:b/>
          <w:bCs/>
          <w:color w:val="2E75B6"/>
          <w:sz w:val="25"/>
          <w:szCs w:val="25"/>
        </w:rPr>
        <w:t>The PJM co-location order (December 18, 2025)</w:t>
      </w:r>
    </w:p>
    <w:p w14:paraId="4466C5E1" w14:textId="77777777" w:rsidR="002F7CD0" w:rsidRDefault="00000000">
      <w:pPr>
        <w:spacing w:after="140" w:line="288" w:lineRule="auto"/>
      </w:pPr>
      <w:r>
        <w:t xml:space="preserve">The most consequential single order remains FERC’s December 18, </w:t>
      </w:r>
      <w:proofErr w:type="gramStart"/>
      <w:r>
        <w:t>2025</w:t>
      </w:r>
      <w:proofErr w:type="gramEnd"/>
      <w:r>
        <w:t xml:space="preserve"> finding that PJM’s tariff was unjust and unreasonable for lacking clear co-location rules. It directed PJM to require that any co-located load be served through one of three paths: (1) Network Integration Transmission Service (NITS), optionally preceded by a new interim, non-firm bridge service while upgrades are built; (2) a new Firm Contract Demand service, under which PJM plans only for the reserved withdrawal quantity; or (3) a new Non-Firm Contract Demand service. Contract-demand customers must install protection schemes that physically cap withdrawals and must meter the load separately from the generator. PJM filed an informational report in January and tariff revisions on February 16, 2026; FERC accepted parts of that compliance on June 18 and required more, so the full mechanism is not expected to be operational before 2027.</w:t>
      </w:r>
    </w:p>
    <w:p w14:paraId="35C22E91" w14:textId="77777777" w:rsidR="002F7CD0" w:rsidRDefault="00000000">
      <w:pPr>
        <w:spacing w:after="140" w:line="288" w:lineRule="auto"/>
      </w:pPr>
      <w:r>
        <w:t xml:space="preserve">SPP’s High Impact Large Load (HILL) framework was accepted by FERC in January </w:t>
      </w:r>
      <w:proofErr w:type="gramStart"/>
      <w:r>
        <w:t>2026</w:t>
      </w:r>
      <w:proofErr w:type="gramEnd"/>
      <w:r>
        <w:t xml:space="preserve"> and its conditional (CHILLS) service took effect July 1, 2026. FERC has also accepted a series of bilateral Transmission Security Agreements (PECO–Amazon in November 2025; ComEd with multiple data center developers in February–April 2026).</w:t>
      </w:r>
    </w:p>
    <w:p w14:paraId="758144BE" w14:textId="77777777" w:rsidR="002F7CD0" w:rsidRDefault="002F7CD0">
      <w:pPr>
        <w:sectPr w:rsidR="002F7CD0">
          <w:footerReference w:type="default" r:id="rId7"/>
          <w:pgSz w:w="12240" w:h="15840"/>
          <w:pgMar w:top="1260" w:right="1440" w:bottom="1260" w:left="1440" w:header="708" w:footer="708" w:gutter="0"/>
          <w:cols w:space="720"/>
          <w:docGrid w:linePitch="360"/>
        </w:sectPr>
      </w:pPr>
    </w:p>
    <w:p w14:paraId="7B372594" w14:textId="77777777" w:rsidR="002F7CD0" w:rsidRDefault="00000000">
      <w:pPr>
        <w:pStyle w:val="Heading1"/>
        <w:pBdr>
          <w:bottom w:val="single" w:sz="6" w:space="4" w:color="2E75B6"/>
        </w:pBdr>
        <w:spacing w:before="320" w:after="140"/>
      </w:pPr>
      <w:r>
        <w:rPr>
          <w:b/>
          <w:bCs/>
          <w:color w:val="1F3864"/>
          <w:sz w:val="30"/>
          <w:szCs w:val="30"/>
        </w:rPr>
        <w:t>Four Markets and the Reliability Overlay: PJM, MISO, SPP, ERCOT and NERC</w:t>
      </w:r>
    </w:p>
    <w:p w14:paraId="0DA9A903" w14:textId="77777777" w:rsidR="002F7CD0" w:rsidRDefault="00000000">
      <w:pPr>
        <w:spacing w:after="140" w:line="288" w:lineRule="auto"/>
      </w:pPr>
      <w:r>
        <w:t>Because FERC chose regional orders over a national rule, the practical rules a developer faces now depend heavily on where the site sits. ERCOT runs on a separate, state-law track under the Texas PUC and is not subject to FERC’s show-cause orders. NERC sits across all of them: it does not run an interconnection queue, but its standards and registration rules will apply to every large load regardless of region. The table summarizes the state of play as of early October 2026; abbreviations are expanded below it.</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400"/>
        <w:gridCol w:w="2300"/>
        <w:gridCol w:w="2300"/>
        <w:gridCol w:w="2580"/>
        <w:gridCol w:w="2600"/>
      </w:tblGrid>
      <w:tr w:rsidR="002F7CD0" w14:paraId="3BC4BDB2" w14:textId="77777777">
        <w:tblPrEx>
          <w:tblCellMar>
            <w:top w:w="0" w:type="dxa"/>
            <w:bottom w:w="0" w:type="dxa"/>
          </w:tblCellMar>
        </w:tblPrEx>
        <w:trPr>
          <w:tblHeader/>
        </w:trPr>
        <w:tc>
          <w:tcPr>
            <w:tcW w:w="1500" w:type="dxa"/>
            <w:shd w:val="clear" w:color="auto" w:fill="1F3864"/>
            <w:tcMar>
              <w:top w:w="70" w:type="dxa"/>
              <w:left w:w="100" w:type="dxa"/>
              <w:bottom w:w="70" w:type="dxa"/>
              <w:right w:w="100" w:type="dxa"/>
            </w:tcMar>
          </w:tcPr>
          <w:p w14:paraId="40C59083" w14:textId="77777777" w:rsidR="002F7CD0" w:rsidRDefault="002F7CD0">
            <w:pPr>
              <w:spacing w:after="30"/>
            </w:pPr>
          </w:p>
        </w:tc>
        <w:tc>
          <w:tcPr>
            <w:tcW w:w="2400" w:type="dxa"/>
            <w:shd w:val="clear" w:color="auto" w:fill="1F3864"/>
            <w:tcMar>
              <w:top w:w="70" w:type="dxa"/>
              <w:left w:w="100" w:type="dxa"/>
              <w:bottom w:w="70" w:type="dxa"/>
              <w:right w:w="100" w:type="dxa"/>
            </w:tcMar>
          </w:tcPr>
          <w:p w14:paraId="7645C2CF" w14:textId="77777777" w:rsidR="002F7CD0" w:rsidRDefault="00000000">
            <w:pPr>
              <w:spacing w:after="30"/>
            </w:pPr>
            <w:r>
              <w:rPr>
                <w:b/>
                <w:bCs/>
                <w:color w:val="FFFFFF"/>
                <w:sz w:val="18"/>
                <w:szCs w:val="18"/>
              </w:rPr>
              <w:t>PJM</w:t>
            </w:r>
          </w:p>
        </w:tc>
        <w:tc>
          <w:tcPr>
            <w:tcW w:w="2300" w:type="dxa"/>
            <w:shd w:val="clear" w:color="auto" w:fill="1F3864"/>
            <w:tcMar>
              <w:top w:w="70" w:type="dxa"/>
              <w:left w:w="100" w:type="dxa"/>
              <w:bottom w:w="70" w:type="dxa"/>
              <w:right w:w="100" w:type="dxa"/>
            </w:tcMar>
          </w:tcPr>
          <w:p w14:paraId="6D4F7B81" w14:textId="77777777" w:rsidR="002F7CD0" w:rsidRDefault="00000000">
            <w:pPr>
              <w:spacing w:after="30"/>
            </w:pPr>
            <w:r>
              <w:rPr>
                <w:b/>
                <w:bCs/>
                <w:color w:val="FFFFFF"/>
                <w:sz w:val="18"/>
                <w:szCs w:val="18"/>
              </w:rPr>
              <w:t>MISO</w:t>
            </w:r>
          </w:p>
        </w:tc>
        <w:tc>
          <w:tcPr>
            <w:tcW w:w="2300" w:type="dxa"/>
            <w:shd w:val="clear" w:color="auto" w:fill="1F3864"/>
            <w:tcMar>
              <w:top w:w="70" w:type="dxa"/>
              <w:left w:w="100" w:type="dxa"/>
              <w:bottom w:w="70" w:type="dxa"/>
              <w:right w:w="100" w:type="dxa"/>
            </w:tcMar>
          </w:tcPr>
          <w:p w14:paraId="1D41EAE4" w14:textId="77777777" w:rsidR="002F7CD0" w:rsidRDefault="00000000">
            <w:pPr>
              <w:spacing w:after="30"/>
            </w:pPr>
            <w:r>
              <w:rPr>
                <w:b/>
                <w:bCs/>
                <w:color w:val="FFFFFF"/>
                <w:sz w:val="18"/>
                <w:szCs w:val="18"/>
              </w:rPr>
              <w:t>SPP</w:t>
            </w:r>
          </w:p>
        </w:tc>
        <w:tc>
          <w:tcPr>
            <w:tcW w:w="2580" w:type="dxa"/>
            <w:shd w:val="clear" w:color="auto" w:fill="1F3864"/>
            <w:tcMar>
              <w:top w:w="70" w:type="dxa"/>
              <w:left w:w="100" w:type="dxa"/>
              <w:bottom w:w="70" w:type="dxa"/>
              <w:right w:w="100" w:type="dxa"/>
            </w:tcMar>
          </w:tcPr>
          <w:p w14:paraId="04DCFD61" w14:textId="77777777" w:rsidR="002F7CD0" w:rsidRDefault="00000000">
            <w:pPr>
              <w:spacing w:after="30"/>
            </w:pPr>
            <w:r>
              <w:rPr>
                <w:b/>
                <w:bCs/>
                <w:color w:val="FFFFFF"/>
                <w:sz w:val="18"/>
                <w:szCs w:val="18"/>
              </w:rPr>
              <w:t>ERCOT (Texas)</w:t>
            </w:r>
          </w:p>
        </w:tc>
        <w:tc>
          <w:tcPr>
            <w:tcW w:w="2600" w:type="dxa"/>
            <w:shd w:val="clear" w:color="auto" w:fill="1F3864"/>
            <w:tcMar>
              <w:top w:w="70" w:type="dxa"/>
              <w:left w:w="100" w:type="dxa"/>
              <w:bottom w:w="70" w:type="dxa"/>
              <w:right w:w="100" w:type="dxa"/>
            </w:tcMar>
          </w:tcPr>
          <w:p w14:paraId="2CF12FD5" w14:textId="77777777" w:rsidR="002F7CD0" w:rsidRDefault="00000000">
            <w:pPr>
              <w:spacing w:after="30"/>
            </w:pPr>
            <w:r>
              <w:rPr>
                <w:b/>
                <w:bCs/>
                <w:color w:val="FFFFFF"/>
                <w:sz w:val="18"/>
                <w:szCs w:val="18"/>
              </w:rPr>
              <w:t>NERC (all regions)</w:t>
            </w:r>
          </w:p>
        </w:tc>
      </w:tr>
      <w:tr w:rsidR="002F7CD0" w14:paraId="48221339" w14:textId="77777777">
        <w:tblPrEx>
          <w:tblCellMar>
            <w:top w:w="0" w:type="dxa"/>
            <w:bottom w:w="0" w:type="dxa"/>
          </w:tblCellMar>
        </w:tblPrEx>
        <w:trPr>
          <w:cantSplit/>
        </w:trPr>
        <w:tc>
          <w:tcPr>
            <w:tcW w:w="1500" w:type="dxa"/>
            <w:shd w:val="clear" w:color="auto" w:fill="FFFFFF"/>
            <w:tcMar>
              <w:top w:w="70" w:type="dxa"/>
              <w:left w:w="100" w:type="dxa"/>
              <w:bottom w:w="70" w:type="dxa"/>
              <w:right w:w="100" w:type="dxa"/>
            </w:tcMar>
          </w:tcPr>
          <w:p w14:paraId="05AE1BCD" w14:textId="77777777" w:rsidR="002F7CD0" w:rsidRDefault="00000000">
            <w:pPr>
              <w:spacing w:after="30"/>
            </w:pPr>
            <w:r>
              <w:rPr>
                <w:b/>
                <w:bCs/>
                <w:color w:val="000000"/>
                <w:sz w:val="17"/>
                <w:szCs w:val="17"/>
              </w:rPr>
              <w:t>Large-load definition</w:t>
            </w:r>
          </w:p>
        </w:tc>
        <w:tc>
          <w:tcPr>
            <w:tcW w:w="2400" w:type="dxa"/>
            <w:shd w:val="clear" w:color="auto" w:fill="FFFFFF"/>
            <w:tcMar>
              <w:top w:w="70" w:type="dxa"/>
              <w:left w:w="100" w:type="dxa"/>
              <w:bottom w:w="70" w:type="dxa"/>
              <w:right w:w="100" w:type="dxa"/>
            </w:tcMar>
          </w:tcPr>
          <w:p w14:paraId="036D3B8D" w14:textId="77777777" w:rsidR="002F7CD0" w:rsidRDefault="00000000">
            <w:pPr>
              <w:spacing w:after="30"/>
            </w:pPr>
            <w:r>
              <w:rPr>
                <w:color w:val="000000"/>
                <w:sz w:val="17"/>
                <w:szCs w:val="17"/>
              </w:rPr>
              <w:t>≥50 MW at a site or within a 1-mile radius (IRAS / Large Load Registry, proposed)</w:t>
            </w:r>
          </w:p>
        </w:tc>
        <w:tc>
          <w:tcPr>
            <w:tcW w:w="2300" w:type="dxa"/>
            <w:shd w:val="clear" w:color="auto" w:fill="FFFFFF"/>
            <w:tcMar>
              <w:top w:w="70" w:type="dxa"/>
              <w:left w:w="100" w:type="dxa"/>
              <w:bottom w:w="70" w:type="dxa"/>
              <w:right w:w="100" w:type="dxa"/>
            </w:tcMar>
          </w:tcPr>
          <w:p w14:paraId="10924CEB" w14:textId="77777777" w:rsidR="002F7CD0" w:rsidRDefault="00000000">
            <w:pPr>
              <w:spacing w:after="30"/>
            </w:pPr>
            <w:r>
              <w:rPr>
                <w:color w:val="000000"/>
                <w:sz w:val="17"/>
                <w:szCs w:val="17"/>
              </w:rPr>
              <w:t>Being defined in LLWG; LARS proposal targets loads ≥250 MW</w:t>
            </w:r>
          </w:p>
        </w:tc>
        <w:tc>
          <w:tcPr>
            <w:tcW w:w="2300" w:type="dxa"/>
            <w:shd w:val="clear" w:color="auto" w:fill="FFFFFF"/>
            <w:tcMar>
              <w:top w:w="70" w:type="dxa"/>
              <w:left w:w="100" w:type="dxa"/>
              <w:bottom w:w="70" w:type="dxa"/>
              <w:right w:w="100" w:type="dxa"/>
            </w:tcMar>
          </w:tcPr>
          <w:p w14:paraId="579D8BCA" w14:textId="360356AD" w:rsidR="002F7CD0" w:rsidRDefault="00000000">
            <w:pPr>
              <w:spacing w:after="30"/>
            </w:pPr>
            <w:r>
              <w:rPr>
                <w:color w:val="000000"/>
                <w:sz w:val="17"/>
                <w:szCs w:val="17"/>
              </w:rPr>
              <w:t>HILL</w:t>
            </w:r>
            <w:r w:rsidR="00B53105">
              <w:rPr>
                <w:color w:val="000000"/>
                <w:sz w:val="17"/>
                <w:szCs w:val="17"/>
              </w:rPr>
              <w:t xml:space="preserve"> (</w:t>
            </w:r>
            <w:r w:rsidR="00B53105">
              <w:rPr>
                <w:color w:val="000000"/>
                <w:sz w:val="17"/>
                <w:szCs w:val="17"/>
              </w:rPr>
              <w:t>High Impact Large Load</w:t>
            </w:r>
            <w:r w:rsidR="00B53105">
              <w:rPr>
                <w:color w:val="000000"/>
                <w:sz w:val="17"/>
                <w:szCs w:val="17"/>
              </w:rPr>
              <w:t>)</w:t>
            </w:r>
            <w:r>
              <w:rPr>
                <w:color w:val="000000"/>
                <w:sz w:val="17"/>
                <w:szCs w:val="17"/>
              </w:rPr>
              <w:t>: ≥10 MW at ≤69 kV, or ≥50 MW above 69 kV</w:t>
            </w:r>
          </w:p>
        </w:tc>
        <w:tc>
          <w:tcPr>
            <w:tcW w:w="2580" w:type="dxa"/>
            <w:shd w:val="clear" w:color="auto" w:fill="FFFFFF"/>
            <w:tcMar>
              <w:top w:w="70" w:type="dxa"/>
              <w:left w:w="100" w:type="dxa"/>
              <w:bottom w:w="70" w:type="dxa"/>
              <w:right w:w="100" w:type="dxa"/>
            </w:tcMar>
          </w:tcPr>
          <w:p w14:paraId="5208BBF8" w14:textId="77777777" w:rsidR="002F7CD0" w:rsidRDefault="00000000">
            <w:pPr>
              <w:spacing w:after="30"/>
            </w:pPr>
            <w:r>
              <w:rPr>
                <w:color w:val="000000"/>
                <w:sz w:val="17"/>
                <w:szCs w:val="17"/>
              </w:rPr>
              <w:t>≥75 MW at a single site (SB 6; PUCT rule, Project 58481)</w:t>
            </w:r>
          </w:p>
        </w:tc>
        <w:tc>
          <w:tcPr>
            <w:tcW w:w="2600" w:type="dxa"/>
            <w:shd w:val="clear" w:color="auto" w:fill="FFFFFF"/>
            <w:tcMar>
              <w:top w:w="70" w:type="dxa"/>
              <w:left w:w="100" w:type="dxa"/>
              <w:bottom w:w="70" w:type="dxa"/>
              <w:right w:w="100" w:type="dxa"/>
            </w:tcMar>
          </w:tcPr>
          <w:p w14:paraId="341FEF0A" w14:textId="77777777" w:rsidR="002F7CD0" w:rsidRDefault="00000000">
            <w:pPr>
              <w:spacing w:after="30"/>
            </w:pPr>
            <w:r>
              <w:rPr>
                <w:color w:val="000000"/>
                <w:sz w:val="17"/>
                <w:szCs w:val="17"/>
              </w:rPr>
              <w:t>CLO/CLOP registration: ≥50 MW at ≥100 kV (Aug 2026 draft; April draft was 20 MW at ≥60 kV)</w:t>
            </w:r>
          </w:p>
        </w:tc>
      </w:tr>
      <w:tr w:rsidR="002F7CD0" w14:paraId="7AE15B06" w14:textId="77777777">
        <w:tblPrEx>
          <w:tblCellMar>
            <w:top w:w="0" w:type="dxa"/>
            <w:bottom w:w="0" w:type="dxa"/>
          </w:tblCellMar>
        </w:tblPrEx>
        <w:trPr>
          <w:cantSplit/>
        </w:trPr>
        <w:tc>
          <w:tcPr>
            <w:tcW w:w="1500" w:type="dxa"/>
            <w:shd w:val="clear" w:color="auto" w:fill="F2F6FB"/>
            <w:tcMar>
              <w:top w:w="70" w:type="dxa"/>
              <w:left w:w="100" w:type="dxa"/>
              <w:bottom w:w="70" w:type="dxa"/>
              <w:right w:w="100" w:type="dxa"/>
            </w:tcMar>
          </w:tcPr>
          <w:p w14:paraId="5E483B36" w14:textId="77777777" w:rsidR="002F7CD0" w:rsidRDefault="00000000">
            <w:pPr>
              <w:spacing w:after="30"/>
            </w:pPr>
            <w:r>
              <w:rPr>
                <w:b/>
                <w:bCs/>
                <w:color w:val="000000"/>
                <w:sz w:val="17"/>
                <w:szCs w:val="17"/>
              </w:rPr>
              <w:t>Load study pathway</w:t>
            </w:r>
          </w:p>
        </w:tc>
        <w:tc>
          <w:tcPr>
            <w:tcW w:w="2400" w:type="dxa"/>
            <w:shd w:val="clear" w:color="auto" w:fill="F2F6FB"/>
            <w:tcMar>
              <w:top w:w="70" w:type="dxa"/>
              <w:left w:w="100" w:type="dxa"/>
              <w:bottom w:w="70" w:type="dxa"/>
              <w:right w:w="100" w:type="dxa"/>
            </w:tcMar>
          </w:tcPr>
          <w:p w14:paraId="141467BA" w14:textId="77777777" w:rsidR="002F7CD0" w:rsidRDefault="00000000">
            <w:pPr>
              <w:spacing w:after="30"/>
            </w:pPr>
            <w:r>
              <w:rPr>
                <w:color w:val="000000"/>
                <w:sz w:val="17"/>
                <w:szCs w:val="17"/>
              </w:rPr>
              <w:t>Load studied by transmission owner and RTEP; co-located load via three new transmission services</w:t>
            </w:r>
          </w:p>
        </w:tc>
        <w:tc>
          <w:tcPr>
            <w:tcW w:w="2300" w:type="dxa"/>
            <w:shd w:val="clear" w:color="auto" w:fill="F2F6FB"/>
            <w:tcMar>
              <w:top w:w="70" w:type="dxa"/>
              <w:left w:w="100" w:type="dxa"/>
              <w:bottom w:w="70" w:type="dxa"/>
              <w:right w:w="100" w:type="dxa"/>
            </w:tcMar>
          </w:tcPr>
          <w:p w14:paraId="6DDC0DA1" w14:textId="77777777" w:rsidR="002F7CD0" w:rsidRDefault="00000000">
            <w:pPr>
              <w:spacing w:after="30"/>
            </w:pPr>
            <w:r>
              <w:rPr>
                <w:color w:val="000000"/>
                <w:sz w:val="17"/>
                <w:szCs w:val="17"/>
              </w:rPr>
              <w:t>MTEP EPR (9.7 GW of large load approved in MTEP25); LARS proposed</w:t>
            </w:r>
          </w:p>
        </w:tc>
        <w:tc>
          <w:tcPr>
            <w:tcW w:w="2300" w:type="dxa"/>
            <w:shd w:val="clear" w:color="auto" w:fill="F2F6FB"/>
            <w:tcMar>
              <w:top w:w="70" w:type="dxa"/>
              <w:left w:w="100" w:type="dxa"/>
              <w:bottom w:w="70" w:type="dxa"/>
              <w:right w:w="100" w:type="dxa"/>
            </w:tcMar>
          </w:tcPr>
          <w:p w14:paraId="2E03C922" w14:textId="77777777" w:rsidR="002F7CD0" w:rsidRDefault="00000000">
            <w:pPr>
              <w:spacing w:after="30"/>
            </w:pPr>
            <w:r>
              <w:rPr>
                <w:color w:val="000000"/>
                <w:sz w:val="17"/>
                <w:szCs w:val="17"/>
              </w:rPr>
              <w:t>HILL Delivery Point Study, rolling intake</w:t>
            </w:r>
          </w:p>
        </w:tc>
        <w:tc>
          <w:tcPr>
            <w:tcW w:w="2580" w:type="dxa"/>
            <w:shd w:val="clear" w:color="auto" w:fill="F2F6FB"/>
            <w:tcMar>
              <w:top w:w="70" w:type="dxa"/>
              <w:left w:w="100" w:type="dxa"/>
              <w:bottom w:w="70" w:type="dxa"/>
              <w:right w:w="100" w:type="dxa"/>
            </w:tcMar>
          </w:tcPr>
          <w:p w14:paraId="6247E9B4" w14:textId="77777777" w:rsidR="002F7CD0" w:rsidRDefault="00000000">
            <w:pPr>
              <w:spacing w:after="30"/>
            </w:pPr>
            <w:r>
              <w:rPr>
                <w:color w:val="000000"/>
                <w:sz w:val="17"/>
                <w:szCs w:val="17"/>
              </w:rPr>
              <w:t>Centralized ERCOT batch study (Batch Zero) replacing one-at-a-time TSP studies; $100,000 study fee</w:t>
            </w:r>
          </w:p>
        </w:tc>
        <w:tc>
          <w:tcPr>
            <w:tcW w:w="2600" w:type="dxa"/>
            <w:shd w:val="clear" w:color="auto" w:fill="F2F6FB"/>
            <w:tcMar>
              <w:top w:w="70" w:type="dxa"/>
              <w:left w:w="100" w:type="dxa"/>
              <w:bottom w:w="70" w:type="dxa"/>
              <w:right w:w="100" w:type="dxa"/>
            </w:tcMar>
          </w:tcPr>
          <w:p w14:paraId="7BDD7BBF" w14:textId="77777777" w:rsidR="002F7CD0" w:rsidRDefault="00000000">
            <w:pPr>
              <w:spacing w:after="30"/>
            </w:pPr>
            <w:r>
              <w:rPr>
                <w:color w:val="000000"/>
                <w:sz w:val="17"/>
                <w:szCs w:val="17"/>
              </w:rPr>
              <w:t>No queue; Level 3 alert requires modeling data, commissioning tests and protection review for every new computational load</w:t>
            </w:r>
          </w:p>
        </w:tc>
      </w:tr>
      <w:tr w:rsidR="002F7CD0" w14:paraId="5FD15D16" w14:textId="77777777">
        <w:tblPrEx>
          <w:tblCellMar>
            <w:top w:w="0" w:type="dxa"/>
            <w:bottom w:w="0" w:type="dxa"/>
          </w:tblCellMar>
        </w:tblPrEx>
        <w:trPr>
          <w:cantSplit/>
        </w:trPr>
        <w:tc>
          <w:tcPr>
            <w:tcW w:w="1500" w:type="dxa"/>
            <w:shd w:val="clear" w:color="auto" w:fill="FFFFFF"/>
            <w:tcMar>
              <w:top w:w="70" w:type="dxa"/>
              <w:left w:w="100" w:type="dxa"/>
              <w:bottom w:w="70" w:type="dxa"/>
              <w:right w:w="100" w:type="dxa"/>
            </w:tcMar>
          </w:tcPr>
          <w:p w14:paraId="326DF323" w14:textId="77777777" w:rsidR="002F7CD0" w:rsidRDefault="00000000">
            <w:pPr>
              <w:spacing w:after="30"/>
            </w:pPr>
            <w:r>
              <w:rPr>
                <w:b/>
                <w:bCs/>
                <w:color w:val="000000"/>
                <w:sz w:val="17"/>
                <w:szCs w:val="17"/>
              </w:rPr>
              <w:t>Study timeline</w:t>
            </w:r>
          </w:p>
        </w:tc>
        <w:tc>
          <w:tcPr>
            <w:tcW w:w="2400" w:type="dxa"/>
            <w:shd w:val="clear" w:color="auto" w:fill="FFFFFF"/>
            <w:tcMar>
              <w:top w:w="70" w:type="dxa"/>
              <w:left w:w="100" w:type="dxa"/>
              <w:bottom w:w="70" w:type="dxa"/>
              <w:right w:w="100" w:type="dxa"/>
            </w:tcMar>
          </w:tcPr>
          <w:p w14:paraId="3F15463A" w14:textId="77777777" w:rsidR="002F7CD0" w:rsidRDefault="00000000">
            <w:pPr>
              <w:spacing w:after="30"/>
            </w:pPr>
            <w:r>
              <w:rPr>
                <w:color w:val="000000"/>
                <w:sz w:val="17"/>
                <w:szCs w:val="17"/>
              </w:rPr>
              <w:t>Not standardized for load; interim non-firm bridge while upgrades are built</w:t>
            </w:r>
          </w:p>
        </w:tc>
        <w:tc>
          <w:tcPr>
            <w:tcW w:w="2300" w:type="dxa"/>
            <w:shd w:val="clear" w:color="auto" w:fill="FFFFFF"/>
            <w:tcMar>
              <w:top w:w="70" w:type="dxa"/>
              <w:left w:w="100" w:type="dxa"/>
              <w:bottom w:w="70" w:type="dxa"/>
              <w:right w:w="100" w:type="dxa"/>
            </w:tcMar>
          </w:tcPr>
          <w:p w14:paraId="2E3407F9" w14:textId="162C47D4" w:rsidR="002F7CD0" w:rsidRDefault="00000000">
            <w:pPr>
              <w:spacing w:after="30"/>
            </w:pPr>
            <w:r>
              <w:rPr>
                <w:color w:val="000000"/>
                <w:sz w:val="17"/>
                <w:szCs w:val="17"/>
              </w:rPr>
              <w:t>LARS</w:t>
            </w:r>
            <w:r w:rsidR="00B53105">
              <w:rPr>
                <w:color w:val="000000"/>
                <w:sz w:val="17"/>
                <w:szCs w:val="17"/>
              </w:rPr>
              <w:t xml:space="preserve"> (</w:t>
            </w:r>
            <w:r w:rsidR="00B53105">
              <w:rPr>
                <w:color w:val="000000"/>
                <w:sz w:val="17"/>
                <w:szCs w:val="17"/>
              </w:rPr>
              <w:t>Large Load Addition Resource Study</w:t>
            </w:r>
            <w:r w:rsidR="00B53105">
              <w:rPr>
                <w:color w:val="000000"/>
                <w:sz w:val="17"/>
                <w:szCs w:val="17"/>
              </w:rPr>
              <w:t>)</w:t>
            </w:r>
            <w:r>
              <w:rPr>
                <w:color w:val="000000"/>
                <w:sz w:val="17"/>
                <w:szCs w:val="17"/>
              </w:rPr>
              <w:t>: 120 days for load + paired generation (vs. 180+ days sequential)</w:t>
            </w:r>
          </w:p>
        </w:tc>
        <w:tc>
          <w:tcPr>
            <w:tcW w:w="2300" w:type="dxa"/>
            <w:shd w:val="clear" w:color="auto" w:fill="FFFFFF"/>
            <w:tcMar>
              <w:top w:w="70" w:type="dxa"/>
              <w:left w:w="100" w:type="dxa"/>
              <w:bottom w:w="70" w:type="dxa"/>
              <w:right w:w="100" w:type="dxa"/>
            </w:tcMar>
          </w:tcPr>
          <w:p w14:paraId="1D229A53" w14:textId="77777777" w:rsidR="002F7CD0" w:rsidRDefault="00000000">
            <w:pPr>
              <w:spacing w:after="30"/>
            </w:pPr>
            <w:r>
              <w:rPr>
                <w:color w:val="000000"/>
                <w:sz w:val="17"/>
                <w:szCs w:val="17"/>
              </w:rPr>
              <w:t>90 calendar days from validated data; results valid 1 year</w:t>
            </w:r>
          </w:p>
        </w:tc>
        <w:tc>
          <w:tcPr>
            <w:tcW w:w="2580" w:type="dxa"/>
            <w:shd w:val="clear" w:color="auto" w:fill="FFFFFF"/>
            <w:tcMar>
              <w:top w:w="70" w:type="dxa"/>
              <w:left w:w="100" w:type="dxa"/>
              <w:bottom w:w="70" w:type="dxa"/>
              <w:right w:w="100" w:type="dxa"/>
            </w:tcMar>
          </w:tcPr>
          <w:p w14:paraId="538724D6" w14:textId="77777777" w:rsidR="002F7CD0" w:rsidRDefault="00000000">
            <w:pPr>
              <w:spacing w:after="30"/>
            </w:pPr>
            <w:r>
              <w:rPr>
                <w:color w:val="000000"/>
                <w:sz w:val="17"/>
                <w:szCs w:val="17"/>
              </w:rPr>
              <w:t>Batch Zero results were due Apr 9, 2027, now TBD after audit; transmission plan fall 2027; Batch 1 opens summer 2027</w:t>
            </w:r>
          </w:p>
        </w:tc>
        <w:tc>
          <w:tcPr>
            <w:tcW w:w="2600" w:type="dxa"/>
            <w:shd w:val="clear" w:color="auto" w:fill="FFFFFF"/>
            <w:tcMar>
              <w:top w:w="70" w:type="dxa"/>
              <w:left w:w="100" w:type="dxa"/>
              <w:bottom w:w="70" w:type="dxa"/>
              <w:right w:w="100" w:type="dxa"/>
            </w:tcMar>
          </w:tcPr>
          <w:p w14:paraId="029D18E9" w14:textId="77777777" w:rsidR="002F7CD0" w:rsidRDefault="00000000">
            <w:pPr>
              <w:spacing w:after="30"/>
            </w:pPr>
            <w:r>
              <w:rPr>
                <w:color w:val="000000"/>
                <w:sz w:val="17"/>
                <w:szCs w:val="17"/>
              </w:rPr>
              <w:t>Mandatory standards due to FERC Dec 31, 2026; Phase II work plan Mar 1, 2027</w:t>
            </w:r>
          </w:p>
        </w:tc>
      </w:tr>
      <w:tr w:rsidR="002F7CD0" w14:paraId="74279450" w14:textId="77777777">
        <w:tblPrEx>
          <w:tblCellMar>
            <w:top w:w="0" w:type="dxa"/>
            <w:bottom w:w="0" w:type="dxa"/>
          </w:tblCellMar>
        </w:tblPrEx>
        <w:trPr>
          <w:cantSplit/>
        </w:trPr>
        <w:tc>
          <w:tcPr>
            <w:tcW w:w="1500" w:type="dxa"/>
            <w:shd w:val="clear" w:color="auto" w:fill="F2F6FB"/>
            <w:tcMar>
              <w:top w:w="70" w:type="dxa"/>
              <w:left w:w="100" w:type="dxa"/>
              <w:bottom w:w="70" w:type="dxa"/>
              <w:right w:w="100" w:type="dxa"/>
            </w:tcMar>
          </w:tcPr>
          <w:p w14:paraId="7DED08E8" w14:textId="77777777" w:rsidR="002F7CD0" w:rsidRDefault="00000000">
            <w:pPr>
              <w:spacing w:after="30"/>
            </w:pPr>
            <w:r>
              <w:rPr>
                <w:b/>
                <w:bCs/>
                <w:color w:val="000000"/>
                <w:sz w:val="17"/>
                <w:szCs w:val="17"/>
              </w:rPr>
              <w:t>Co-located generation</w:t>
            </w:r>
          </w:p>
        </w:tc>
        <w:tc>
          <w:tcPr>
            <w:tcW w:w="2400" w:type="dxa"/>
            <w:shd w:val="clear" w:color="auto" w:fill="F2F6FB"/>
            <w:tcMar>
              <w:top w:w="70" w:type="dxa"/>
              <w:left w:w="100" w:type="dxa"/>
              <w:bottom w:w="70" w:type="dxa"/>
              <w:right w:w="100" w:type="dxa"/>
            </w:tcMar>
          </w:tcPr>
          <w:p w14:paraId="097B9D0D" w14:textId="50AABB36" w:rsidR="002F7CD0" w:rsidRDefault="00000000">
            <w:pPr>
              <w:spacing w:after="30"/>
            </w:pPr>
            <w:r>
              <w:rPr>
                <w:color w:val="000000"/>
                <w:sz w:val="17"/>
                <w:szCs w:val="17"/>
              </w:rPr>
              <w:t>NITS</w:t>
            </w:r>
            <w:r w:rsidR="00B53105">
              <w:rPr>
                <w:color w:val="000000"/>
                <w:sz w:val="17"/>
                <w:szCs w:val="17"/>
              </w:rPr>
              <w:t xml:space="preserve"> (</w:t>
            </w:r>
            <w:r w:rsidR="00B53105">
              <w:rPr>
                <w:color w:val="000000"/>
                <w:sz w:val="17"/>
                <w:szCs w:val="17"/>
              </w:rPr>
              <w:t>Network Integration Transmission Service</w:t>
            </w:r>
            <w:r w:rsidR="00B53105">
              <w:rPr>
                <w:color w:val="000000"/>
                <w:sz w:val="17"/>
                <w:szCs w:val="17"/>
              </w:rPr>
              <w:t>)</w:t>
            </w:r>
            <w:r>
              <w:rPr>
                <w:color w:val="000000"/>
                <w:sz w:val="17"/>
                <w:szCs w:val="17"/>
              </w:rPr>
              <w:t xml:space="preserve"> + interim bridge, Firm or Non-Firm Contract Demand; BYONC rules for capacity</w:t>
            </w:r>
          </w:p>
        </w:tc>
        <w:tc>
          <w:tcPr>
            <w:tcW w:w="2300" w:type="dxa"/>
            <w:shd w:val="clear" w:color="auto" w:fill="F2F6FB"/>
            <w:tcMar>
              <w:top w:w="70" w:type="dxa"/>
              <w:left w:w="100" w:type="dxa"/>
              <w:bottom w:w="70" w:type="dxa"/>
              <w:right w:w="100" w:type="dxa"/>
            </w:tcMar>
          </w:tcPr>
          <w:p w14:paraId="6644BD6F" w14:textId="77777777" w:rsidR="002F7CD0" w:rsidRDefault="00000000">
            <w:pPr>
              <w:spacing w:after="30"/>
            </w:pPr>
            <w:r>
              <w:rPr>
                <w:color w:val="000000"/>
                <w:sz w:val="17"/>
                <w:szCs w:val="17"/>
              </w:rPr>
              <w:t>ZGIA; LARS requires firm offtake with the load in same LRZ</w:t>
            </w:r>
          </w:p>
        </w:tc>
        <w:tc>
          <w:tcPr>
            <w:tcW w:w="2300" w:type="dxa"/>
            <w:shd w:val="clear" w:color="auto" w:fill="F2F6FB"/>
            <w:tcMar>
              <w:top w:w="70" w:type="dxa"/>
              <w:left w:w="100" w:type="dxa"/>
              <w:bottom w:w="70" w:type="dxa"/>
              <w:right w:w="100" w:type="dxa"/>
            </w:tcMar>
          </w:tcPr>
          <w:p w14:paraId="762430A0" w14:textId="77777777" w:rsidR="002F7CD0" w:rsidRDefault="00000000">
            <w:pPr>
              <w:spacing w:after="30"/>
            </w:pPr>
            <w:r>
              <w:rPr>
                <w:color w:val="000000"/>
                <w:sz w:val="17"/>
                <w:szCs w:val="17"/>
              </w:rPr>
              <w:t>HILLGA studies load and supporting generation in parallel</w:t>
            </w:r>
          </w:p>
        </w:tc>
        <w:tc>
          <w:tcPr>
            <w:tcW w:w="2580" w:type="dxa"/>
            <w:shd w:val="clear" w:color="auto" w:fill="F2F6FB"/>
            <w:tcMar>
              <w:top w:w="70" w:type="dxa"/>
              <w:left w:w="100" w:type="dxa"/>
              <w:bottom w:w="70" w:type="dxa"/>
              <w:right w:w="100" w:type="dxa"/>
            </w:tcMar>
          </w:tcPr>
          <w:p w14:paraId="656A5A24" w14:textId="77777777" w:rsidR="002F7CD0" w:rsidRDefault="00000000">
            <w:pPr>
              <w:spacing w:after="30"/>
            </w:pPr>
            <w:r>
              <w:rPr>
                <w:color w:val="000000"/>
                <w:sz w:val="17"/>
                <w:szCs w:val="17"/>
              </w:rPr>
              <w:t xml:space="preserve">Co-location with existing </w:t>
            </w:r>
            <w:proofErr w:type="gramStart"/>
            <w:r>
              <w:rPr>
                <w:color w:val="000000"/>
                <w:sz w:val="17"/>
                <w:szCs w:val="17"/>
              </w:rPr>
              <w:t>generation</w:t>
            </w:r>
            <w:proofErr w:type="gramEnd"/>
            <w:r>
              <w:rPr>
                <w:color w:val="000000"/>
                <w:sz w:val="17"/>
                <w:szCs w:val="17"/>
              </w:rPr>
              <w:t xml:space="preserve"> needs ERCOT study and PUCT approval; remote disconnect required; security based on gross peak demand</w:t>
            </w:r>
          </w:p>
        </w:tc>
        <w:tc>
          <w:tcPr>
            <w:tcW w:w="2600" w:type="dxa"/>
            <w:shd w:val="clear" w:color="auto" w:fill="F2F6FB"/>
            <w:tcMar>
              <w:top w:w="70" w:type="dxa"/>
              <w:left w:w="100" w:type="dxa"/>
              <w:bottom w:w="70" w:type="dxa"/>
              <w:right w:w="100" w:type="dxa"/>
            </w:tcMar>
          </w:tcPr>
          <w:p w14:paraId="3C110633" w14:textId="77777777" w:rsidR="002F7CD0" w:rsidRDefault="00000000">
            <w:pPr>
              <w:spacing w:after="30"/>
            </w:pPr>
            <w:r>
              <w:rPr>
                <w:color w:val="000000"/>
                <w:sz w:val="17"/>
                <w:szCs w:val="17"/>
              </w:rPr>
              <w:t>Ride-through and ramp-rate obligations apply to the load; PRC-029-1 governs inverter-based generation</w:t>
            </w:r>
          </w:p>
        </w:tc>
      </w:tr>
      <w:tr w:rsidR="002F7CD0" w14:paraId="74672B98" w14:textId="77777777">
        <w:tblPrEx>
          <w:tblCellMar>
            <w:top w:w="0" w:type="dxa"/>
            <w:bottom w:w="0" w:type="dxa"/>
          </w:tblCellMar>
        </w:tblPrEx>
        <w:trPr>
          <w:cantSplit/>
        </w:trPr>
        <w:tc>
          <w:tcPr>
            <w:tcW w:w="1500" w:type="dxa"/>
            <w:shd w:val="clear" w:color="auto" w:fill="FFFFFF"/>
            <w:tcMar>
              <w:top w:w="70" w:type="dxa"/>
              <w:left w:w="100" w:type="dxa"/>
              <w:bottom w:w="70" w:type="dxa"/>
              <w:right w:w="100" w:type="dxa"/>
            </w:tcMar>
          </w:tcPr>
          <w:p w14:paraId="2D71AD56" w14:textId="77777777" w:rsidR="002F7CD0" w:rsidRDefault="00000000">
            <w:pPr>
              <w:spacing w:after="30"/>
            </w:pPr>
            <w:r>
              <w:rPr>
                <w:b/>
                <w:bCs/>
                <w:color w:val="000000"/>
                <w:sz w:val="17"/>
                <w:szCs w:val="17"/>
              </w:rPr>
              <w:t>Flexible / conditional service</w:t>
            </w:r>
          </w:p>
        </w:tc>
        <w:tc>
          <w:tcPr>
            <w:tcW w:w="2400" w:type="dxa"/>
            <w:shd w:val="clear" w:color="auto" w:fill="FFFFFF"/>
            <w:tcMar>
              <w:top w:w="70" w:type="dxa"/>
              <w:left w:w="100" w:type="dxa"/>
              <w:bottom w:w="70" w:type="dxa"/>
              <w:right w:w="100" w:type="dxa"/>
            </w:tcMar>
          </w:tcPr>
          <w:p w14:paraId="7D1381D9" w14:textId="46148EF1" w:rsidR="002F7CD0" w:rsidRDefault="00000000">
            <w:pPr>
              <w:spacing w:after="30"/>
            </w:pPr>
            <w:r>
              <w:rPr>
                <w:color w:val="000000"/>
                <w:sz w:val="17"/>
                <w:szCs w:val="17"/>
              </w:rPr>
              <w:t>IRAS</w:t>
            </w:r>
            <w:r w:rsidR="00B53105">
              <w:rPr>
                <w:color w:val="000000"/>
                <w:sz w:val="17"/>
                <w:szCs w:val="17"/>
              </w:rPr>
              <w:t xml:space="preserve"> (Interim Resource Adequacy Service)</w:t>
            </w:r>
            <w:r>
              <w:rPr>
                <w:color w:val="000000"/>
                <w:sz w:val="17"/>
                <w:szCs w:val="17"/>
              </w:rPr>
              <w:t>: unsupported new load curtailed before pre-emergency load management</w:t>
            </w:r>
          </w:p>
        </w:tc>
        <w:tc>
          <w:tcPr>
            <w:tcW w:w="2300" w:type="dxa"/>
            <w:shd w:val="clear" w:color="auto" w:fill="FFFFFF"/>
            <w:tcMar>
              <w:top w:w="70" w:type="dxa"/>
              <w:left w:w="100" w:type="dxa"/>
              <w:bottom w:w="70" w:type="dxa"/>
              <w:right w:w="100" w:type="dxa"/>
            </w:tcMar>
          </w:tcPr>
          <w:p w14:paraId="70695837" w14:textId="77777777" w:rsidR="002F7CD0" w:rsidRDefault="00000000">
            <w:pPr>
              <w:spacing w:after="30"/>
            </w:pPr>
            <w:r>
              <w:rPr>
                <w:color w:val="000000"/>
                <w:sz w:val="17"/>
                <w:szCs w:val="17"/>
              </w:rPr>
              <w:t>Under development in LLWG</w:t>
            </w:r>
          </w:p>
        </w:tc>
        <w:tc>
          <w:tcPr>
            <w:tcW w:w="2300" w:type="dxa"/>
            <w:shd w:val="clear" w:color="auto" w:fill="FFFFFF"/>
            <w:tcMar>
              <w:top w:w="70" w:type="dxa"/>
              <w:left w:w="100" w:type="dxa"/>
              <w:bottom w:w="70" w:type="dxa"/>
              <w:right w:w="100" w:type="dxa"/>
            </w:tcMar>
          </w:tcPr>
          <w:p w14:paraId="146A35E3" w14:textId="77777777" w:rsidR="002F7CD0" w:rsidRDefault="00000000">
            <w:pPr>
              <w:spacing w:after="30"/>
            </w:pPr>
            <w:r>
              <w:rPr>
                <w:color w:val="000000"/>
                <w:sz w:val="17"/>
                <w:szCs w:val="17"/>
              </w:rPr>
              <w:t>CHILLS: non-firm, curtailable service for up to ~5 years; PALS filing targeted Nov 16, 2026</w:t>
            </w:r>
          </w:p>
        </w:tc>
        <w:tc>
          <w:tcPr>
            <w:tcW w:w="2580" w:type="dxa"/>
            <w:shd w:val="clear" w:color="auto" w:fill="FFFFFF"/>
            <w:tcMar>
              <w:top w:w="70" w:type="dxa"/>
              <w:left w:w="100" w:type="dxa"/>
              <w:bottom w:w="70" w:type="dxa"/>
              <w:right w:w="100" w:type="dxa"/>
            </w:tcMar>
          </w:tcPr>
          <w:p w14:paraId="49A1FB57" w14:textId="0E52967A" w:rsidR="002F7CD0" w:rsidRDefault="00000000">
            <w:pPr>
              <w:spacing w:after="30"/>
            </w:pPr>
            <w:r>
              <w:rPr>
                <w:color w:val="000000"/>
                <w:sz w:val="17"/>
                <w:szCs w:val="17"/>
              </w:rPr>
              <w:t>PCLR</w:t>
            </w:r>
            <w:r w:rsidR="000A43D5">
              <w:rPr>
                <w:color w:val="000000"/>
                <w:sz w:val="17"/>
                <w:szCs w:val="17"/>
              </w:rPr>
              <w:t xml:space="preserve"> (</w:t>
            </w:r>
            <w:r w:rsidR="000A43D5">
              <w:rPr>
                <w:color w:val="000000"/>
                <w:sz w:val="17"/>
                <w:szCs w:val="17"/>
              </w:rPr>
              <w:t>Provisional Controllable Load Resource</w:t>
            </w:r>
            <w:r w:rsidR="000A43D5">
              <w:rPr>
                <w:color w:val="000000"/>
                <w:sz w:val="17"/>
                <w:szCs w:val="17"/>
              </w:rPr>
              <w:t>)</w:t>
            </w:r>
            <w:r>
              <w:rPr>
                <w:color w:val="000000"/>
                <w:sz w:val="17"/>
                <w:szCs w:val="17"/>
              </w:rPr>
              <w:t xml:space="preserve">: queue priority for loads that accept ERCOT curtailment; loads connected after Dec 31, </w:t>
            </w:r>
            <w:proofErr w:type="gramStart"/>
            <w:r>
              <w:rPr>
                <w:color w:val="000000"/>
                <w:sz w:val="17"/>
                <w:szCs w:val="17"/>
              </w:rPr>
              <w:t>2025</w:t>
            </w:r>
            <w:proofErr w:type="gramEnd"/>
            <w:r>
              <w:rPr>
                <w:color w:val="000000"/>
                <w:sz w:val="17"/>
                <w:szCs w:val="17"/>
              </w:rPr>
              <w:t xml:space="preserve"> must curtail or use backup generation in emergencies</w:t>
            </w:r>
          </w:p>
        </w:tc>
        <w:tc>
          <w:tcPr>
            <w:tcW w:w="2600" w:type="dxa"/>
            <w:shd w:val="clear" w:color="auto" w:fill="FFFFFF"/>
            <w:tcMar>
              <w:top w:w="70" w:type="dxa"/>
              <w:left w:w="100" w:type="dxa"/>
              <w:bottom w:w="70" w:type="dxa"/>
              <w:right w:w="100" w:type="dxa"/>
            </w:tcMar>
          </w:tcPr>
          <w:p w14:paraId="66340315" w14:textId="77777777" w:rsidR="002F7CD0" w:rsidRDefault="00000000">
            <w:pPr>
              <w:spacing w:after="30"/>
            </w:pPr>
            <w:r>
              <w:rPr>
                <w:color w:val="000000"/>
                <w:sz w:val="17"/>
                <w:szCs w:val="17"/>
              </w:rPr>
              <w:t>Proposed duty for registered loads to follow grid-operator instructions and meet ramp limits</w:t>
            </w:r>
          </w:p>
        </w:tc>
      </w:tr>
      <w:tr w:rsidR="002F7CD0" w14:paraId="4E7793DC" w14:textId="77777777">
        <w:tblPrEx>
          <w:tblCellMar>
            <w:top w:w="0" w:type="dxa"/>
            <w:bottom w:w="0" w:type="dxa"/>
          </w:tblCellMar>
        </w:tblPrEx>
        <w:trPr>
          <w:cantSplit/>
        </w:trPr>
        <w:tc>
          <w:tcPr>
            <w:tcW w:w="1500" w:type="dxa"/>
            <w:shd w:val="clear" w:color="auto" w:fill="F2F6FB"/>
            <w:tcMar>
              <w:top w:w="70" w:type="dxa"/>
              <w:left w:w="100" w:type="dxa"/>
              <w:bottom w:w="70" w:type="dxa"/>
              <w:right w:w="100" w:type="dxa"/>
            </w:tcMar>
          </w:tcPr>
          <w:p w14:paraId="350066CC" w14:textId="77777777" w:rsidR="002F7CD0" w:rsidRDefault="00000000">
            <w:pPr>
              <w:spacing w:after="30"/>
            </w:pPr>
            <w:r>
              <w:rPr>
                <w:b/>
                <w:bCs/>
                <w:color w:val="000000"/>
                <w:sz w:val="17"/>
                <w:szCs w:val="17"/>
              </w:rPr>
              <w:t>Status (Oct 2026)</w:t>
            </w:r>
          </w:p>
        </w:tc>
        <w:tc>
          <w:tcPr>
            <w:tcW w:w="2400" w:type="dxa"/>
            <w:shd w:val="clear" w:color="auto" w:fill="F2F6FB"/>
            <w:tcMar>
              <w:top w:w="70" w:type="dxa"/>
              <w:left w:w="100" w:type="dxa"/>
              <w:bottom w:w="70" w:type="dxa"/>
              <w:right w:w="100" w:type="dxa"/>
            </w:tcMar>
          </w:tcPr>
          <w:p w14:paraId="6B746E42" w14:textId="77777777" w:rsidR="002F7CD0" w:rsidRDefault="00000000">
            <w:pPr>
              <w:spacing w:after="30"/>
            </w:pPr>
            <w:r>
              <w:rPr>
                <w:color w:val="000000"/>
                <w:sz w:val="17"/>
                <w:szCs w:val="17"/>
              </w:rPr>
              <w:t>IRAS (ER26-3515) and backstop auction (ER26-3380) pending at FERC; show-cause in abeyance</w:t>
            </w:r>
          </w:p>
        </w:tc>
        <w:tc>
          <w:tcPr>
            <w:tcW w:w="2300" w:type="dxa"/>
            <w:shd w:val="clear" w:color="auto" w:fill="F2F6FB"/>
            <w:tcMar>
              <w:top w:w="70" w:type="dxa"/>
              <w:left w:w="100" w:type="dxa"/>
              <w:bottom w:w="70" w:type="dxa"/>
              <w:right w:w="100" w:type="dxa"/>
            </w:tcMar>
          </w:tcPr>
          <w:p w14:paraId="6CB6C51F" w14:textId="77777777" w:rsidR="002F7CD0" w:rsidRDefault="00000000">
            <w:pPr>
              <w:spacing w:after="30"/>
            </w:pPr>
            <w:r>
              <w:rPr>
                <w:color w:val="000000"/>
                <w:sz w:val="17"/>
                <w:szCs w:val="17"/>
              </w:rPr>
              <w:t xml:space="preserve">Show-cause in abeyance; LARS targeting Oct 18, </w:t>
            </w:r>
            <w:proofErr w:type="gramStart"/>
            <w:r>
              <w:rPr>
                <w:color w:val="000000"/>
                <w:sz w:val="17"/>
                <w:szCs w:val="17"/>
              </w:rPr>
              <w:t>2026</w:t>
            </w:r>
            <w:proofErr w:type="gramEnd"/>
            <w:r>
              <w:rPr>
                <w:color w:val="000000"/>
                <w:sz w:val="17"/>
                <w:szCs w:val="17"/>
              </w:rPr>
              <w:t xml:space="preserve"> effective date if approved</w:t>
            </w:r>
          </w:p>
        </w:tc>
        <w:tc>
          <w:tcPr>
            <w:tcW w:w="2300" w:type="dxa"/>
            <w:shd w:val="clear" w:color="auto" w:fill="F2F6FB"/>
            <w:tcMar>
              <w:top w:w="70" w:type="dxa"/>
              <w:left w:w="100" w:type="dxa"/>
              <w:bottom w:w="70" w:type="dxa"/>
              <w:right w:w="100" w:type="dxa"/>
            </w:tcMar>
          </w:tcPr>
          <w:p w14:paraId="3AB52CE0" w14:textId="77777777" w:rsidR="002F7CD0" w:rsidRDefault="00000000">
            <w:pPr>
              <w:spacing w:after="30"/>
            </w:pPr>
            <w:r>
              <w:rPr>
                <w:color w:val="000000"/>
                <w:sz w:val="17"/>
                <w:szCs w:val="17"/>
              </w:rPr>
              <w:t>HILL/CHILLS effective; show-cause in abeyance</w:t>
            </w:r>
          </w:p>
        </w:tc>
        <w:tc>
          <w:tcPr>
            <w:tcW w:w="2580" w:type="dxa"/>
            <w:shd w:val="clear" w:color="auto" w:fill="F2F6FB"/>
            <w:tcMar>
              <w:top w:w="70" w:type="dxa"/>
              <w:left w:w="100" w:type="dxa"/>
              <w:bottom w:w="70" w:type="dxa"/>
              <w:right w:w="100" w:type="dxa"/>
            </w:tcMar>
          </w:tcPr>
          <w:p w14:paraId="53875588" w14:textId="77777777" w:rsidR="002F7CD0" w:rsidRDefault="00000000">
            <w:pPr>
              <w:spacing w:after="30"/>
            </w:pPr>
            <w:r>
              <w:rPr>
                <w:color w:val="000000"/>
                <w:sz w:val="17"/>
                <w:szCs w:val="17"/>
              </w:rPr>
              <w:t xml:space="preserve">PUCT rule adopted Sept 18, 2026; </w:t>
            </w:r>
            <w:proofErr w:type="gramStart"/>
            <w:r>
              <w:rPr>
                <w:color w:val="000000"/>
                <w:sz w:val="17"/>
                <w:szCs w:val="17"/>
              </w:rPr>
              <w:t>governor’s</w:t>
            </w:r>
            <w:proofErr w:type="gramEnd"/>
            <w:r>
              <w:rPr>
                <w:color w:val="000000"/>
                <w:sz w:val="17"/>
                <w:szCs w:val="17"/>
              </w:rPr>
              <w:t xml:space="preserve"> Aug 3 audit paused new energizations; audit report due Dec 10, 2026</w:t>
            </w:r>
          </w:p>
        </w:tc>
        <w:tc>
          <w:tcPr>
            <w:tcW w:w="2600" w:type="dxa"/>
            <w:shd w:val="clear" w:color="auto" w:fill="F2F6FB"/>
            <w:tcMar>
              <w:top w:w="70" w:type="dxa"/>
              <w:left w:w="100" w:type="dxa"/>
              <w:bottom w:w="70" w:type="dxa"/>
              <w:right w:w="100" w:type="dxa"/>
            </w:tcMar>
          </w:tcPr>
          <w:p w14:paraId="09E9192D" w14:textId="77777777" w:rsidR="002F7CD0" w:rsidRDefault="00000000">
            <w:pPr>
              <w:spacing w:after="30"/>
            </w:pPr>
            <w:r>
              <w:rPr>
                <w:color w:val="000000"/>
                <w:sz w:val="17"/>
                <w:szCs w:val="17"/>
              </w:rPr>
              <w:t>Alert responses filed Aug 3; registry comments closed Sept 18; standards drafting (Project 2026-02)</w:t>
            </w:r>
          </w:p>
        </w:tc>
      </w:tr>
    </w:tbl>
    <w:p w14:paraId="5C7047D2" w14:textId="77777777" w:rsidR="002F7CD0" w:rsidRDefault="00000000">
      <w:pPr>
        <w:spacing w:before="60" w:after="160"/>
      </w:pPr>
      <w:r>
        <w:rPr>
          <w:i/>
          <w:iCs/>
          <w:color w:val="595959"/>
          <w:sz w:val="17"/>
          <w:szCs w:val="17"/>
        </w:rPr>
        <w:t>Sources: FERC show-cause orders (June 18, 2026) and order in RD26-7 (July 16, 2026); PJM Board decisional letter (July 27, 2026) and ER26-3515 filing; MISO LLWG materials and LARS proposal (Aug–Sept 2026); SPP RR 696 and FERC order ER26-247 (Jan 14, 2026); Texas SB 6, PUCT Project 58481 (Sept 18, 2026) and ERCOT NPRR1325/PGRR145; NERC Level 3 alert (May 2026) and CLO/CLOP registry posting (Aug 19, 2026).</w:t>
      </w:r>
    </w:p>
    <w:p w14:paraId="5A802884" w14:textId="77777777" w:rsidR="002F7CD0" w:rsidRDefault="00000000">
      <w:pPr>
        <w:keepNext/>
        <w:spacing w:before="120" w:after="80"/>
      </w:pPr>
      <w:r>
        <w:rPr>
          <w:b/>
          <w:bCs/>
          <w:color w:val="1F3864"/>
          <w:sz w:val="21"/>
          <w:szCs w:val="21"/>
        </w:rPr>
        <w:t>Abbreviations used in the table</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5440"/>
        <w:gridCol w:w="1400"/>
        <w:gridCol w:w="5440"/>
      </w:tblGrid>
      <w:tr w:rsidR="002F7CD0" w14:paraId="6738AE8C" w14:textId="77777777">
        <w:tblPrEx>
          <w:tblCellMar>
            <w:top w:w="0" w:type="dxa"/>
            <w:bottom w:w="0" w:type="dxa"/>
          </w:tblCellMar>
        </w:tblPrEx>
        <w:trPr>
          <w:tblHeader/>
        </w:trPr>
        <w:tc>
          <w:tcPr>
            <w:tcW w:w="1400" w:type="dxa"/>
            <w:shd w:val="clear" w:color="auto" w:fill="1F3864"/>
            <w:tcMar>
              <w:top w:w="70" w:type="dxa"/>
              <w:left w:w="100" w:type="dxa"/>
              <w:bottom w:w="70" w:type="dxa"/>
              <w:right w:w="100" w:type="dxa"/>
            </w:tcMar>
          </w:tcPr>
          <w:p w14:paraId="019F3902" w14:textId="77777777" w:rsidR="002F7CD0" w:rsidRDefault="00000000">
            <w:pPr>
              <w:spacing w:after="30"/>
            </w:pPr>
            <w:r>
              <w:rPr>
                <w:b/>
                <w:bCs/>
                <w:color w:val="FFFFFF"/>
                <w:sz w:val="18"/>
                <w:szCs w:val="18"/>
              </w:rPr>
              <w:t>Term</w:t>
            </w:r>
          </w:p>
        </w:tc>
        <w:tc>
          <w:tcPr>
            <w:tcW w:w="5440" w:type="dxa"/>
            <w:shd w:val="clear" w:color="auto" w:fill="1F3864"/>
            <w:tcMar>
              <w:top w:w="70" w:type="dxa"/>
              <w:left w:w="100" w:type="dxa"/>
              <w:bottom w:w="70" w:type="dxa"/>
              <w:right w:w="100" w:type="dxa"/>
            </w:tcMar>
          </w:tcPr>
          <w:p w14:paraId="545AA82A" w14:textId="77777777" w:rsidR="002F7CD0" w:rsidRDefault="00000000">
            <w:pPr>
              <w:spacing w:after="30"/>
            </w:pPr>
            <w:r>
              <w:rPr>
                <w:b/>
                <w:bCs/>
                <w:color w:val="FFFFFF"/>
                <w:sz w:val="18"/>
                <w:szCs w:val="18"/>
              </w:rPr>
              <w:t>Meaning</w:t>
            </w:r>
          </w:p>
        </w:tc>
        <w:tc>
          <w:tcPr>
            <w:tcW w:w="1400" w:type="dxa"/>
            <w:shd w:val="clear" w:color="auto" w:fill="1F3864"/>
            <w:tcMar>
              <w:top w:w="70" w:type="dxa"/>
              <w:left w:w="100" w:type="dxa"/>
              <w:bottom w:w="70" w:type="dxa"/>
              <w:right w:w="100" w:type="dxa"/>
            </w:tcMar>
          </w:tcPr>
          <w:p w14:paraId="34F23411" w14:textId="77777777" w:rsidR="002F7CD0" w:rsidRDefault="00000000">
            <w:pPr>
              <w:spacing w:after="30"/>
            </w:pPr>
            <w:r>
              <w:rPr>
                <w:b/>
                <w:bCs/>
                <w:color w:val="FFFFFF"/>
                <w:sz w:val="18"/>
                <w:szCs w:val="18"/>
              </w:rPr>
              <w:t>Term</w:t>
            </w:r>
          </w:p>
        </w:tc>
        <w:tc>
          <w:tcPr>
            <w:tcW w:w="5440" w:type="dxa"/>
            <w:shd w:val="clear" w:color="auto" w:fill="1F3864"/>
            <w:tcMar>
              <w:top w:w="70" w:type="dxa"/>
              <w:left w:w="100" w:type="dxa"/>
              <w:bottom w:w="70" w:type="dxa"/>
              <w:right w:w="100" w:type="dxa"/>
            </w:tcMar>
          </w:tcPr>
          <w:p w14:paraId="4AC44931" w14:textId="77777777" w:rsidR="002F7CD0" w:rsidRDefault="00000000">
            <w:pPr>
              <w:spacing w:after="30"/>
            </w:pPr>
            <w:r>
              <w:rPr>
                <w:b/>
                <w:bCs/>
                <w:color w:val="FFFFFF"/>
                <w:sz w:val="18"/>
                <w:szCs w:val="18"/>
              </w:rPr>
              <w:t>Meaning</w:t>
            </w:r>
          </w:p>
        </w:tc>
      </w:tr>
      <w:tr w:rsidR="002F7CD0" w14:paraId="4F514103" w14:textId="77777777">
        <w:tblPrEx>
          <w:tblCellMar>
            <w:top w:w="0" w:type="dxa"/>
            <w:bottom w:w="0" w:type="dxa"/>
          </w:tblCellMar>
        </w:tblPrEx>
        <w:trPr>
          <w:cantSplit/>
        </w:trPr>
        <w:tc>
          <w:tcPr>
            <w:tcW w:w="1400" w:type="dxa"/>
            <w:shd w:val="clear" w:color="auto" w:fill="FFFFFF"/>
            <w:tcMar>
              <w:top w:w="70" w:type="dxa"/>
              <w:left w:w="100" w:type="dxa"/>
              <w:bottom w:w="70" w:type="dxa"/>
              <w:right w:w="100" w:type="dxa"/>
            </w:tcMar>
          </w:tcPr>
          <w:p w14:paraId="048D1139" w14:textId="77777777" w:rsidR="002F7CD0" w:rsidRDefault="00000000">
            <w:pPr>
              <w:spacing w:after="30"/>
            </w:pPr>
            <w:r>
              <w:rPr>
                <w:b/>
                <w:bCs/>
                <w:color w:val="000000"/>
                <w:sz w:val="17"/>
                <w:szCs w:val="17"/>
              </w:rPr>
              <w:t>BYONC</w:t>
            </w:r>
          </w:p>
        </w:tc>
        <w:tc>
          <w:tcPr>
            <w:tcW w:w="5440" w:type="dxa"/>
            <w:shd w:val="clear" w:color="auto" w:fill="FFFFFF"/>
            <w:tcMar>
              <w:top w:w="70" w:type="dxa"/>
              <w:left w:w="100" w:type="dxa"/>
              <w:bottom w:w="70" w:type="dxa"/>
              <w:right w:w="100" w:type="dxa"/>
            </w:tcMar>
          </w:tcPr>
          <w:p w14:paraId="32DA5B73" w14:textId="77777777" w:rsidR="002F7CD0" w:rsidRDefault="00000000">
            <w:pPr>
              <w:spacing w:after="30"/>
            </w:pPr>
            <w:r>
              <w:rPr>
                <w:color w:val="000000"/>
                <w:sz w:val="17"/>
                <w:szCs w:val="17"/>
              </w:rPr>
              <w:t>Bring Your Own New Capacity (</w:t>
            </w:r>
            <w:proofErr w:type="gramStart"/>
            <w:r>
              <w:rPr>
                <w:color w:val="000000"/>
                <w:sz w:val="17"/>
                <w:szCs w:val="17"/>
              </w:rPr>
              <w:t>PJM) — new</w:t>
            </w:r>
            <w:proofErr w:type="gramEnd"/>
            <w:r>
              <w:rPr>
                <w:color w:val="000000"/>
                <w:sz w:val="17"/>
                <w:szCs w:val="17"/>
              </w:rPr>
              <w:t xml:space="preserve"> qualifying capacity a large load brings to cover its own requirement</w:t>
            </w:r>
          </w:p>
        </w:tc>
        <w:tc>
          <w:tcPr>
            <w:tcW w:w="1400" w:type="dxa"/>
            <w:shd w:val="clear" w:color="auto" w:fill="FFFFFF"/>
            <w:tcMar>
              <w:top w:w="70" w:type="dxa"/>
              <w:left w:w="100" w:type="dxa"/>
              <w:bottom w:w="70" w:type="dxa"/>
              <w:right w:w="100" w:type="dxa"/>
            </w:tcMar>
          </w:tcPr>
          <w:p w14:paraId="7DF316E7" w14:textId="77777777" w:rsidR="002F7CD0" w:rsidRDefault="00000000">
            <w:pPr>
              <w:spacing w:after="30"/>
            </w:pPr>
            <w:r>
              <w:rPr>
                <w:b/>
                <w:bCs/>
                <w:color w:val="000000"/>
                <w:sz w:val="17"/>
                <w:szCs w:val="17"/>
              </w:rPr>
              <w:t>NITS</w:t>
            </w:r>
          </w:p>
        </w:tc>
        <w:tc>
          <w:tcPr>
            <w:tcW w:w="5440" w:type="dxa"/>
            <w:shd w:val="clear" w:color="auto" w:fill="FFFFFF"/>
            <w:tcMar>
              <w:top w:w="70" w:type="dxa"/>
              <w:left w:w="100" w:type="dxa"/>
              <w:bottom w:w="70" w:type="dxa"/>
              <w:right w:w="100" w:type="dxa"/>
            </w:tcMar>
          </w:tcPr>
          <w:p w14:paraId="71C28ABC" w14:textId="77777777" w:rsidR="002F7CD0" w:rsidRDefault="00000000">
            <w:pPr>
              <w:spacing w:after="30"/>
            </w:pPr>
            <w:r>
              <w:rPr>
                <w:color w:val="000000"/>
                <w:sz w:val="17"/>
                <w:szCs w:val="17"/>
              </w:rPr>
              <w:t>Network Integration Transmission Service — the standard firm transmission service used to serve load</w:t>
            </w:r>
          </w:p>
        </w:tc>
      </w:tr>
      <w:tr w:rsidR="002F7CD0" w14:paraId="578E417F" w14:textId="77777777">
        <w:tblPrEx>
          <w:tblCellMar>
            <w:top w:w="0" w:type="dxa"/>
            <w:bottom w:w="0" w:type="dxa"/>
          </w:tblCellMar>
        </w:tblPrEx>
        <w:trPr>
          <w:cantSplit/>
        </w:trPr>
        <w:tc>
          <w:tcPr>
            <w:tcW w:w="1400" w:type="dxa"/>
            <w:shd w:val="clear" w:color="auto" w:fill="F2F6FB"/>
            <w:tcMar>
              <w:top w:w="70" w:type="dxa"/>
              <w:left w:w="100" w:type="dxa"/>
              <w:bottom w:w="70" w:type="dxa"/>
              <w:right w:w="100" w:type="dxa"/>
            </w:tcMar>
          </w:tcPr>
          <w:p w14:paraId="7B37ED86" w14:textId="77777777" w:rsidR="002F7CD0" w:rsidRDefault="00000000">
            <w:pPr>
              <w:spacing w:after="30"/>
            </w:pPr>
            <w:r>
              <w:rPr>
                <w:b/>
                <w:bCs/>
                <w:color w:val="000000"/>
                <w:sz w:val="17"/>
                <w:szCs w:val="17"/>
              </w:rPr>
              <w:t>CHILLS</w:t>
            </w:r>
          </w:p>
        </w:tc>
        <w:tc>
          <w:tcPr>
            <w:tcW w:w="5440" w:type="dxa"/>
            <w:shd w:val="clear" w:color="auto" w:fill="F2F6FB"/>
            <w:tcMar>
              <w:top w:w="70" w:type="dxa"/>
              <w:left w:w="100" w:type="dxa"/>
              <w:bottom w:w="70" w:type="dxa"/>
              <w:right w:w="100" w:type="dxa"/>
            </w:tcMar>
          </w:tcPr>
          <w:p w14:paraId="2BA01AED" w14:textId="77777777" w:rsidR="002F7CD0" w:rsidRDefault="00000000">
            <w:pPr>
              <w:spacing w:after="30"/>
            </w:pPr>
            <w:r>
              <w:rPr>
                <w:color w:val="000000"/>
                <w:sz w:val="17"/>
                <w:szCs w:val="17"/>
              </w:rPr>
              <w:t>Conditional High Impact Large Load Service (</w:t>
            </w:r>
            <w:proofErr w:type="gramStart"/>
            <w:r>
              <w:rPr>
                <w:color w:val="000000"/>
                <w:sz w:val="17"/>
                <w:szCs w:val="17"/>
              </w:rPr>
              <w:t>SPP) —</w:t>
            </w:r>
            <w:proofErr w:type="gramEnd"/>
            <w:r>
              <w:rPr>
                <w:color w:val="000000"/>
                <w:sz w:val="17"/>
                <w:szCs w:val="17"/>
              </w:rPr>
              <w:t xml:space="preserve"> non-firm, curtailable interim service</w:t>
            </w:r>
          </w:p>
        </w:tc>
        <w:tc>
          <w:tcPr>
            <w:tcW w:w="1400" w:type="dxa"/>
            <w:shd w:val="clear" w:color="auto" w:fill="F2F6FB"/>
            <w:tcMar>
              <w:top w:w="70" w:type="dxa"/>
              <w:left w:w="100" w:type="dxa"/>
              <w:bottom w:w="70" w:type="dxa"/>
              <w:right w:w="100" w:type="dxa"/>
            </w:tcMar>
          </w:tcPr>
          <w:p w14:paraId="3835C9A5" w14:textId="77777777" w:rsidR="002F7CD0" w:rsidRDefault="00000000">
            <w:pPr>
              <w:spacing w:after="30"/>
            </w:pPr>
            <w:r>
              <w:rPr>
                <w:b/>
                <w:bCs/>
                <w:color w:val="000000"/>
                <w:sz w:val="17"/>
                <w:szCs w:val="17"/>
              </w:rPr>
              <w:t>PALS</w:t>
            </w:r>
          </w:p>
        </w:tc>
        <w:tc>
          <w:tcPr>
            <w:tcW w:w="5440" w:type="dxa"/>
            <w:shd w:val="clear" w:color="auto" w:fill="F2F6FB"/>
            <w:tcMar>
              <w:top w:w="70" w:type="dxa"/>
              <w:left w:w="100" w:type="dxa"/>
              <w:bottom w:w="70" w:type="dxa"/>
              <w:right w:w="100" w:type="dxa"/>
            </w:tcMar>
          </w:tcPr>
          <w:p w14:paraId="028586BA" w14:textId="77777777" w:rsidR="002F7CD0" w:rsidRDefault="00000000">
            <w:pPr>
              <w:spacing w:after="30"/>
            </w:pPr>
            <w:r>
              <w:rPr>
                <w:color w:val="000000"/>
                <w:sz w:val="17"/>
                <w:szCs w:val="17"/>
              </w:rPr>
              <w:t>Price Adaptive Load Service (SPP, planned filing)</w:t>
            </w:r>
          </w:p>
        </w:tc>
      </w:tr>
      <w:tr w:rsidR="002F7CD0" w14:paraId="4CE79CBF" w14:textId="77777777">
        <w:tblPrEx>
          <w:tblCellMar>
            <w:top w:w="0" w:type="dxa"/>
            <w:bottom w:w="0" w:type="dxa"/>
          </w:tblCellMar>
        </w:tblPrEx>
        <w:trPr>
          <w:cantSplit/>
        </w:trPr>
        <w:tc>
          <w:tcPr>
            <w:tcW w:w="1400" w:type="dxa"/>
            <w:shd w:val="clear" w:color="auto" w:fill="FFFFFF"/>
            <w:tcMar>
              <w:top w:w="70" w:type="dxa"/>
              <w:left w:w="100" w:type="dxa"/>
              <w:bottom w:w="70" w:type="dxa"/>
              <w:right w:w="100" w:type="dxa"/>
            </w:tcMar>
          </w:tcPr>
          <w:p w14:paraId="07737A43" w14:textId="77777777" w:rsidR="002F7CD0" w:rsidRDefault="00000000">
            <w:pPr>
              <w:spacing w:after="30"/>
            </w:pPr>
            <w:r>
              <w:rPr>
                <w:b/>
                <w:bCs/>
                <w:color w:val="000000"/>
                <w:sz w:val="17"/>
                <w:szCs w:val="17"/>
              </w:rPr>
              <w:t>CLO / CLOP</w:t>
            </w:r>
          </w:p>
        </w:tc>
        <w:tc>
          <w:tcPr>
            <w:tcW w:w="5440" w:type="dxa"/>
            <w:shd w:val="clear" w:color="auto" w:fill="FFFFFF"/>
            <w:tcMar>
              <w:top w:w="70" w:type="dxa"/>
              <w:left w:w="100" w:type="dxa"/>
              <w:bottom w:w="70" w:type="dxa"/>
              <w:right w:w="100" w:type="dxa"/>
            </w:tcMar>
          </w:tcPr>
          <w:p w14:paraId="74260DA4" w14:textId="77777777" w:rsidR="002F7CD0" w:rsidRDefault="00000000">
            <w:pPr>
              <w:spacing w:after="30"/>
            </w:pPr>
            <w:r>
              <w:rPr>
                <w:color w:val="000000"/>
                <w:sz w:val="17"/>
                <w:szCs w:val="17"/>
              </w:rPr>
              <w:t>Computational Load Owner / Computational Load Operator (proposed NERC registration categories)</w:t>
            </w:r>
          </w:p>
        </w:tc>
        <w:tc>
          <w:tcPr>
            <w:tcW w:w="1400" w:type="dxa"/>
            <w:shd w:val="clear" w:color="auto" w:fill="FFFFFF"/>
            <w:tcMar>
              <w:top w:w="70" w:type="dxa"/>
              <w:left w:w="100" w:type="dxa"/>
              <w:bottom w:w="70" w:type="dxa"/>
              <w:right w:w="100" w:type="dxa"/>
            </w:tcMar>
          </w:tcPr>
          <w:p w14:paraId="72E63A58" w14:textId="77777777" w:rsidR="002F7CD0" w:rsidRDefault="00000000">
            <w:pPr>
              <w:spacing w:after="30"/>
            </w:pPr>
            <w:r>
              <w:rPr>
                <w:b/>
                <w:bCs/>
                <w:color w:val="000000"/>
                <w:sz w:val="17"/>
                <w:szCs w:val="17"/>
              </w:rPr>
              <w:t>PRC-029-1</w:t>
            </w:r>
          </w:p>
        </w:tc>
        <w:tc>
          <w:tcPr>
            <w:tcW w:w="5440" w:type="dxa"/>
            <w:shd w:val="clear" w:color="auto" w:fill="FFFFFF"/>
            <w:tcMar>
              <w:top w:w="70" w:type="dxa"/>
              <w:left w:w="100" w:type="dxa"/>
              <w:bottom w:w="70" w:type="dxa"/>
              <w:right w:w="100" w:type="dxa"/>
            </w:tcMar>
          </w:tcPr>
          <w:p w14:paraId="05594639" w14:textId="77777777" w:rsidR="002F7CD0" w:rsidRDefault="00000000">
            <w:pPr>
              <w:spacing w:after="30"/>
            </w:pPr>
            <w:r>
              <w:rPr>
                <w:color w:val="000000"/>
                <w:sz w:val="17"/>
                <w:szCs w:val="17"/>
              </w:rPr>
              <w:t>NERC Reliability Standard for frequency and voltage ride-through of inverter-based resources</w:t>
            </w:r>
          </w:p>
        </w:tc>
      </w:tr>
      <w:tr w:rsidR="002F7CD0" w14:paraId="553773AE" w14:textId="77777777">
        <w:tblPrEx>
          <w:tblCellMar>
            <w:top w:w="0" w:type="dxa"/>
            <w:bottom w:w="0" w:type="dxa"/>
          </w:tblCellMar>
        </w:tblPrEx>
        <w:trPr>
          <w:cantSplit/>
        </w:trPr>
        <w:tc>
          <w:tcPr>
            <w:tcW w:w="1400" w:type="dxa"/>
            <w:shd w:val="clear" w:color="auto" w:fill="F2F6FB"/>
            <w:tcMar>
              <w:top w:w="70" w:type="dxa"/>
              <w:left w:w="100" w:type="dxa"/>
              <w:bottom w:w="70" w:type="dxa"/>
              <w:right w:w="100" w:type="dxa"/>
            </w:tcMar>
          </w:tcPr>
          <w:p w14:paraId="6C753363" w14:textId="77777777" w:rsidR="002F7CD0" w:rsidRDefault="00000000">
            <w:pPr>
              <w:spacing w:after="30"/>
            </w:pPr>
            <w:r>
              <w:rPr>
                <w:b/>
                <w:bCs/>
                <w:color w:val="000000"/>
                <w:sz w:val="17"/>
                <w:szCs w:val="17"/>
              </w:rPr>
              <w:t>EPR</w:t>
            </w:r>
          </w:p>
        </w:tc>
        <w:tc>
          <w:tcPr>
            <w:tcW w:w="5440" w:type="dxa"/>
            <w:shd w:val="clear" w:color="auto" w:fill="F2F6FB"/>
            <w:tcMar>
              <w:top w:w="70" w:type="dxa"/>
              <w:left w:w="100" w:type="dxa"/>
              <w:bottom w:w="70" w:type="dxa"/>
              <w:right w:w="100" w:type="dxa"/>
            </w:tcMar>
          </w:tcPr>
          <w:p w14:paraId="67413B4C" w14:textId="77777777" w:rsidR="002F7CD0" w:rsidRDefault="00000000">
            <w:pPr>
              <w:spacing w:after="30"/>
            </w:pPr>
            <w:r>
              <w:rPr>
                <w:color w:val="000000"/>
                <w:sz w:val="17"/>
                <w:szCs w:val="17"/>
              </w:rPr>
              <w:t>Expedited Project Review (MISO MTEP process for quickly approving transmission for new load)</w:t>
            </w:r>
          </w:p>
        </w:tc>
        <w:tc>
          <w:tcPr>
            <w:tcW w:w="1400" w:type="dxa"/>
            <w:shd w:val="clear" w:color="auto" w:fill="F2F6FB"/>
            <w:tcMar>
              <w:top w:w="70" w:type="dxa"/>
              <w:left w:w="100" w:type="dxa"/>
              <w:bottom w:w="70" w:type="dxa"/>
              <w:right w:w="100" w:type="dxa"/>
            </w:tcMar>
          </w:tcPr>
          <w:p w14:paraId="4C8CC6D3" w14:textId="77777777" w:rsidR="002F7CD0" w:rsidRDefault="00000000">
            <w:pPr>
              <w:spacing w:after="30"/>
            </w:pPr>
            <w:r>
              <w:rPr>
                <w:b/>
                <w:bCs/>
                <w:color w:val="000000"/>
                <w:sz w:val="17"/>
                <w:szCs w:val="17"/>
              </w:rPr>
              <w:t>RTEP</w:t>
            </w:r>
          </w:p>
        </w:tc>
        <w:tc>
          <w:tcPr>
            <w:tcW w:w="5440" w:type="dxa"/>
            <w:shd w:val="clear" w:color="auto" w:fill="F2F6FB"/>
            <w:tcMar>
              <w:top w:w="70" w:type="dxa"/>
              <w:left w:w="100" w:type="dxa"/>
              <w:bottom w:w="70" w:type="dxa"/>
              <w:right w:w="100" w:type="dxa"/>
            </w:tcMar>
          </w:tcPr>
          <w:p w14:paraId="4FB45BED" w14:textId="77777777" w:rsidR="002F7CD0" w:rsidRDefault="00000000">
            <w:pPr>
              <w:spacing w:after="30"/>
            </w:pPr>
            <w:r>
              <w:rPr>
                <w:color w:val="000000"/>
                <w:sz w:val="17"/>
                <w:szCs w:val="17"/>
              </w:rPr>
              <w:t>Regional Transmission Expansion Plan (PJM’s transmission planning process)</w:t>
            </w:r>
          </w:p>
        </w:tc>
      </w:tr>
      <w:tr w:rsidR="002F7CD0" w14:paraId="64BF94C5" w14:textId="77777777">
        <w:tblPrEx>
          <w:tblCellMar>
            <w:top w:w="0" w:type="dxa"/>
            <w:bottom w:w="0" w:type="dxa"/>
          </w:tblCellMar>
        </w:tblPrEx>
        <w:trPr>
          <w:cantSplit/>
        </w:trPr>
        <w:tc>
          <w:tcPr>
            <w:tcW w:w="1400" w:type="dxa"/>
            <w:shd w:val="clear" w:color="auto" w:fill="FFFFFF"/>
            <w:tcMar>
              <w:top w:w="70" w:type="dxa"/>
              <w:left w:w="100" w:type="dxa"/>
              <w:bottom w:w="70" w:type="dxa"/>
              <w:right w:w="100" w:type="dxa"/>
            </w:tcMar>
          </w:tcPr>
          <w:p w14:paraId="4B5DB938" w14:textId="77777777" w:rsidR="002F7CD0" w:rsidRDefault="00000000">
            <w:pPr>
              <w:spacing w:after="30"/>
            </w:pPr>
            <w:r>
              <w:rPr>
                <w:b/>
                <w:bCs/>
                <w:color w:val="000000"/>
                <w:sz w:val="17"/>
                <w:szCs w:val="17"/>
              </w:rPr>
              <w:t>GIA / ZGIA</w:t>
            </w:r>
          </w:p>
        </w:tc>
        <w:tc>
          <w:tcPr>
            <w:tcW w:w="5440" w:type="dxa"/>
            <w:shd w:val="clear" w:color="auto" w:fill="FFFFFF"/>
            <w:tcMar>
              <w:top w:w="70" w:type="dxa"/>
              <w:left w:w="100" w:type="dxa"/>
              <w:bottom w:w="70" w:type="dxa"/>
              <w:right w:w="100" w:type="dxa"/>
            </w:tcMar>
          </w:tcPr>
          <w:p w14:paraId="65977F78" w14:textId="77777777" w:rsidR="002F7CD0" w:rsidRDefault="00000000">
            <w:pPr>
              <w:spacing w:after="30"/>
            </w:pPr>
            <w:r>
              <w:rPr>
                <w:color w:val="000000"/>
                <w:sz w:val="17"/>
                <w:szCs w:val="17"/>
              </w:rPr>
              <w:t>Generator Interconnection Agreement / Zero-injection Generator Interconnection Agreement (MISO; generator serves co-located load and injects no power to the grid)</w:t>
            </w:r>
          </w:p>
        </w:tc>
        <w:tc>
          <w:tcPr>
            <w:tcW w:w="1400" w:type="dxa"/>
            <w:shd w:val="clear" w:color="auto" w:fill="FFFFFF"/>
            <w:tcMar>
              <w:top w:w="70" w:type="dxa"/>
              <w:left w:w="100" w:type="dxa"/>
              <w:bottom w:w="70" w:type="dxa"/>
              <w:right w:w="100" w:type="dxa"/>
            </w:tcMar>
          </w:tcPr>
          <w:p w14:paraId="00020E8A" w14:textId="77777777" w:rsidR="002F7CD0" w:rsidRDefault="00000000">
            <w:pPr>
              <w:spacing w:after="30"/>
            </w:pPr>
            <w:r>
              <w:rPr>
                <w:b/>
                <w:bCs/>
                <w:color w:val="000000"/>
                <w:sz w:val="17"/>
                <w:szCs w:val="17"/>
              </w:rPr>
              <w:t>RTO / ISO</w:t>
            </w:r>
          </w:p>
        </w:tc>
        <w:tc>
          <w:tcPr>
            <w:tcW w:w="5440" w:type="dxa"/>
            <w:shd w:val="clear" w:color="auto" w:fill="FFFFFF"/>
            <w:tcMar>
              <w:top w:w="70" w:type="dxa"/>
              <w:left w:w="100" w:type="dxa"/>
              <w:bottom w:w="70" w:type="dxa"/>
              <w:right w:w="100" w:type="dxa"/>
            </w:tcMar>
          </w:tcPr>
          <w:p w14:paraId="69F485D8" w14:textId="77777777" w:rsidR="002F7CD0" w:rsidRDefault="00000000">
            <w:pPr>
              <w:spacing w:after="30"/>
            </w:pPr>
            <w:r>
              <w:rPr>
                <w:color w:val="000000"/>
                <w:sz w:val="17"/>
                <w:szCs w:val="17"/>
              </w:rPr>
              <w:t>Regional Transmission Organization / Independent System Operator</w:t>
            </w:r>
          </w:p>
        </w:tc>
      </w:tr>
      <w:tr w:rsidR="002F7CD0" w14:paraId="3D8FB72B" w14:textId="77777777">
        <w:tblPrEx>
          <w:tblCellMar>
            <w:top w:w="0" w:type="dxa"/>
            <w:bottom w:w="0" w:type="dxa"/>
          </w:tblCellMar>
        </w:tblPrEx>
        <w:trPr>
          <w:cantSplit/>
        </w:trPr>
        <w:tc>
          <w:tcPr>
            <w:tcW w:w="1400" w:type="dxa"/>
            <w:shd w:val="clear" w:color="auto" w:fill="F2F6FB"/>
            <w:tcMar>
              <w:top w:w="70" w:type="dxa"/>
              <w:left w:w="100" w:type="dxa"/>
              <w:bottom w:w="70" w:type="dxa"/>
              <w:right w:w="100" w:type="dxa"/>
            </w:tcMar>
          </w:tcPr>
          <w:p w14:paraId="24BB4773" w14:textId="77777777" w:rsidR="002F7CD0" w:rsidRDefault="00000000">
            <w:pPr>
              <w:spacing w:after="30"/>
            </w:pPr>
            <w:r>
              <w:rPr>
                <w:b/>
                <w:bCs/>
                <w:color w:val="000000"/>
                <w:sz w:val="17"/>
                <w:szCs w:val="17"/>
              </w:rPr>
              <w:t>HILL</w:t>
            </w:r>
          </w:p>
        </w:tc>
        <w:tc>
          <w:tcPr>
            <w:tcW w:w="5440" w:type="dxa"/>
            <w:shd w:val="clear" w:color="auto" w:fill="F2F6FB"/>
            <w:tcMar>
              <w:top w:w="70" w:type="dxa"/>
              <w:left w:w="100" w:type="dxa"/>
              <w:bottom w:w="70" w:type="dxa"/>
              <w:right w:w="100" w:type="dxa"/>
            </w:tcMar>
          </w:tcPr>
          <w:p w14:paraId="3FB0C03F" w14:textId="77777777" w:rsidR="002F7CD0" w:rsidRDefault="00000000">
            <w:pPr>
              <w:spacing w:after="30"/>
            </w:pPr>
            <w:r>
              <w:rPr>
                <w:color w:val="000000"/>
                <w:sz w:val="17"/>
                <w:szCs w:val="17"/>
              </w:rPr>
              <w:t>High Impact Large Load (SPP)</w:t>
            </w:r>
          </w:p>
        </w:tc>
        <w:tc>
          <w:tcPr>
            <w:tcW w:w="1400" w:type="dxa"/>
            <w:shd w:val="clear" w:color="auto" w:fill="F2F6FB"/>
            <w:tcMar>
              <w:top w:w="70" w:type="dxa"/>
              <w:left w:w="100" w:type="dxa"/>
              <w:bottom w:w="70" w:type="dxa"/>
              <w:right w:w="100" w:type="dxa"/>
            </w:tcMar>
          </w:tcPr>
          <w:p w14:paraId="7ACC16F0" w14:textId="77777777" w:rsidR="002F7CD0" w:rsidRDefault="00000000">
            <w:pPr>
              <w:spacing w:after="30"/>
            </w:pPr>
            <w:r>
              <w:rPr>
                <w:b/>
                <w:bCs/>
                <w:color w:val="000000"/>
                <w:sz w:val="17"/>
                <w:szCs w:val="17"/>
              </w:rPr>
              <w:t>ERCOT</w:t>
            </w:r>
          </w:p>
        </w:tc>
        <w:tc>
          <w:tcPr>
            <w:tcW w:w="5440" w:type="dxa"/>
            <w:shd w:val="clear" w:color="auto" w:fill="F2F6FB"/>
            <w:tcMar>
              <w:top w:w="70" w:type="dxa"/>
              <w:left w:w="100" w:type="dxa"/>
              <w:bottom w:w="70" w:type="dxa"/>
              <w:right w:w="100" w:type="dxa"/>
            </w:tcMar>
          </w:tcPr>
          <w:p w14:paraId="0298DE2B" w14:textId="77777777" w:rsidR="002F7CD0" w:rsidRDefault="00000000">
            <w:pPr>
              <w:spacing w:after="30"/>
            </w:pPr>
            <w:r>
              <w:rPr>
                <w:color w:val="000000"/>
                <w:sz w:val="17"/>
                <w:szCs w:val="17"/>
              </w:rPr>
              <w:t>Electric Reliability Council of Texas (grid operator for ~90% of Texas load; not FERC-jurisdictional for wholesale or transmission rates)</w:t>
            </w:r>
          </w:p>
        </w:tc>
      </w:tr>
      <w:tr w:rsidR="002F7CD0" w14:paraId="12E2004A" w14:textId="77777777">
        <w:tblPrEx>
          <w:tblCellMar>
            <w:top w:w="0" w:type="dxa"/>
            <w:bottom w:w="0" w:type="dxa"/>
          </w:tblCellMar>
        </w:tblPrEx>
        <w:trPr>
          <w:cantSplit/>
        </w:trPr>
        <w:tc>
          <w:tcPr>
            <w:tcW w:w="1400" w:type="dxa"/>
            <w:shd w:val="clear" w:color="auto" w:fill="FFFFFF"/>
            <w:tcMar>
              <w:top w:w="70" w:type="dxa"/>
              <w:left w:w="100" w:type="dxa"/>
              <w:bottom w:w="70" w:type="dxa"/>
              <w:right w:w="100" w:type="dxa"/>
            </w:tcMar>
          </w:tcPr>
          <w:p w14:paraId="4D72B228" w14:textId="77777777" w:rsidR="002F7CD0" w:rsidRDefault="00000000">
            <w:pPr>
              <w:spacing w:after="30"/>
            </w:pPr>
            <w:r>
              <w:rPr>
                <w:b/>
                <w:bCs/>
                <w:color w:val="000000"/>
                <w:sz w:val="17"/>
                <w:szCs w:val="17"/>
              </w:rPr>
              <w:t>HILLGA</w:t>
            </w:r>
          </w:p>
        </w:tc>
        <w:tc>
          <w:tcPr>
            <w:tcW w:w="5440" w:type="dxa"/>
            <w:shd w:val="clear" w:color="auto" w:fill="FFFFFF"/>
            <w:tcMar>
              <w:top w:w="70" w:type="dxa"/>
              <w:left w:w="100" w:type="dxa"/>
              <w:bottom w:w="70" w:type="dxa"/>
              <w:right w:w="100" w:type="dxa"/>
            </w:tcMar>
          </w:tcPr>
          <w:p w14:paraId="44298897" w14:textId="77777777" w:rsidR="002F7CD0" w:rsidRDefault="00000000">
            <w:pPr>
              <w:spacing w:after="30"/>
            </w:pPr>
            <w:r>
              <w:rPr>
                <w:color w:val="000000"/>
                <w:sz w:val="17"/>
                <w:szCs w:val="17"/>
              </w:rPr>
              <w:t>High Impact Large Load Generation Assessment (</w:t>
            </w:r>
            <w:proofErr w:type="gramStart"/>
            <w:r>
              <w:rPr>
                <w:color w:val="000000"/>
                <w:sz w:val="17"/>
                <w:szCs w:val="17"/>
              </w:rPr>
              <w:t>SPP) —</w:t>
            </w:r>
            <w:proofErr w:type="gramEnd"/>
            <w:r>
              <w:rPr>
                <w:color w:val="000000"/>
                <w:sz w:val="17"/>
                <w:szCs w:val="17"/>
              </w:rPr>
              <w:t xml:space="preserve"> parallel study of a HILL and its supporting generation</w:t>
            </w:r>
          </w:p>
        </w:tc>
        <w:tc>
          <w:tcPr>
            <w:tcW w:w="1400" w:type="dxa"/>
            <w:shd w:val="clear" w:color="auto" w:fill="FFFFFF"/>
            <w:tcMar>
              <w:top w:w="70" w:type="dxa"/>
              <w:left w:w="100" w:type="dxa"/>
              <w:bottom w:w="70" w:type="dxa"/>
              <w:right w:w="100" w:type="dxa"/>
            </w:tcMar>
          </w:tcPr>
          <w:p w14:paraId="0869DD74" w14:textId="77777777" w:rsidR="002F7CD0" w:rsidRDefault="00000000">
            <w:pPr>
              <w:spacing w:after="30"/>
            </w:pPr>
            <w:r>
              <w:rPr>
                <w:b/>
                <w:bCs/>
                <w:color w:val="000000"/>
                <w:sz w:val="17"/>
                <w:szCs w:val="17"/>
              </w:rPr>
              <w:t>PUCT</w:t>
            </w:r>
          </w:p>
        </w:tc>
        <w:tc>
          <w:tcPr>
            <w:tcW w:w="5440" w:type="dxa"/>
            <w:shd w:val="clear" w:color="auto" w:fill="FFFFFF"/>
            <w:tcMar>
              <w:top w:w="70" w:type="dxa"/>
              <w:left w:w="100" w:type="dxa"/>
              <w:bottom w:w="70" w:type="dxa"/>
              <w:right w:w="100" w:type="dxa"/>
            </w:tcMar>
          </w:tcPr>
          <w:p w14:paraId="60616163" w14:textId="77777777" w:rsidR="002F7CD0" w:rsidRDefault="00000000">
            <w:pPr>
              <w:spacing w:after="30"/>
            </w:pPr>
            <w:r>
              <w:rPr>
                <w:color w:val="000000"/>
                <w:sz w:val="17"/>
                <w:szCs w:val="17"/>
              </w:rPr>
              <w:t>Public Utility Commission of Texas</w:t>
            </w:r>
          </w:p>
        </w:tc>
      </w:tr>
      <w:tr w:rsidR="002F7CD0" w14:paraId="0FBDE3B1" w14:textId="77777777">
        <w:tblPrEx>
          <w:tblCellMar>
            <w:top w:w="0" w:type="dxa"/>
            <w:bottom w:w="0" w:type="dxa"/>
          </w:tblCellMar>
        </w:tblPrEx>
        <w:trPr>
          <w:cantSplit/>
        </w:trPr>
        <w:tc>
          <w:tcPr>
            <w:tcW w:w="1400" w:type="dxa"/>
            <w:shd w:val="clear" w:color="auto" w:fill="F2F6FB"/>
            <w:tcMar>
              <w:top w:w="70" w:type="dxa"/>
              <w:left w:w="100" w:type="dxa"/>
              <w:bottom w:w="70" w:type="dxa"/>
              <w:right w:w="100" w:type="dxa"/>
            </w:tcMar>
          </w:tcPr>
          <w:p w14:paraId="0331CAE3" w14:textId="77777777" w:rsidR="002F7CD0" w:rsidRDefault="00000000">
            <w:pPr>
              <w:spacing w:after="30"/>
            </w:pPr>
            <w:r>
              <w:rPr>
                <w:b/>
                <w:bCs/>
                <w:color w:val="000000"/>
                <w:sz w:val="17"/>
                <w:szCs w:val="17"/>
              </w:rPr>
              <w:t>IRAS</w:t>
            </w:r>
          </w:p>
        </w:tc>
        <w:tc>
          <w:tcPr>
            <w:tcW w:w="5440" w:type="dxa"/>
            <w:shd w:val="clear" w:color="auto" w:fill="F2F6FB"/>
            <w:tcMar>
              <w:top w:w="70" w:type="dxa"/>
              <w:left w:w="100" w:type="dxa"/>
              <w:bottom w:w="70" w:type="dxa"/>
              <w:right w:w="100" w:type="dxa"/>
            </w:tcMar>
          </w:tcPr>
          <w:p w14:paraId="28411C31" w14:textId="77777777" w:rsidR="002F7CD0" w:rsidRDefault="00000000">
            <w:pPr>
              <w:spacing w:after="30"/>
            </w:pPr>
            <w:r>
              <w:rPr>
                <w:color w:val="000000"/>
                <w:sz w:val="17"/>
                <w:szCs w:val="17"/>
              </w:rPr>
              <w:t>Interim Resource Adequacy Service (</w:t>
            </w:r>
            <w:proofErr w:type="gramStart"/>
            <w:r>
              <w:rPr>
                <w:color w:val="000000"/>
                <w:sz w:val="17"/>
                <w:szCs w:val="17"/>
              </w:rPr>
              <w:t>PJM) —</w:t>
            </w:r>
            <w:proofErr w:type="gramEnd"/>
            <w:r>
              <w:rPr>
                <w:color w:val="000000"/>
                <w:sz w:val="17"/>
                <w:szCs w:val="17"/>
              </w:rPr>
              <w:t xml:space="preserve"> new large loads without sufficient new capacity are curtailed before pre-emergency load management</w:t>
            </w:r>
          </w:p>
        </w:tc>
        <w:tc>
          <w:tcPr>
            <w:tcW w:w="1400" w:type="dxa"/>
            <w:shd w:val="clear" w:color="auto" w:fill="F2F6FB"/>
            <w:tcMar>
              <w:top w:w="70" w:type="dxa"/>
              <w:left w:w="100" w:type="dxa"/>
              <w:bottom w:w="70" w:type="dxa"/>
              <w:right w:w="100" w:type="dxa"/>
            </w:tcMar>
          </w:tcPr>
          <w:p w14:paraId="64E34058" w14:textId="77777777" w:rsidR="002F7CD0" w:rsidRDefault="00000000">
            <w:pPr>
              <w:spacing w:after="30"/>
            </w:pPr>
            <w:r>
              <w:rPr>
                <w:b/>
                <w:bCs/>
                <w:color w:val="000000"/>
                <w:sz w:val="17"/>
                <w:szCs w:val="17"/>
              </w:rPr>
              <w:t>SB 6</w:t>
            </w:r>
          </w:p>
        </w:tc>
        <w:tc>
          <w:tcPr>
            <w:tcW w:w="5440" w:type="dxa"/>
            <w:shd w:val="clear" w:color="auto" w:fill="F2F6FB"/>
            <w:tcMar>
              <w:top w:w="70" w:type="dxa"/>
              <w:left w:w="100" w:type="dxa"/>
              <w:bottom w:w="70" w:type="dxa"/>
              <w:right w:w="100" w:type="dxa"/>
            </w:tcMar>
          </w:tcPr>
          <w:p w14:paraId="7D2857D1" w14:textId="77777777" w:rsidR="002F7CD0" w:rsidRDefault="00000000">
            <w:pPr>
              <w:spacing w:after="30"/>
            </w:pPr>
            <w:r>
              <w:rPr>
                <w:color w:val="000000"/>
                <w:sz w:val="17"/>
                <w:szCs w:val="17"/>
              </w:rPr>
              <w:t>Texas Senate Bill 6 (2025): large-load interconnection, co-location and curtailment statute</w:t>
            </w:r>
          </w:p>
        </w:tc>
      </w:tr>
      <w:tr w:rsidR="002F7CD0" w14:paraId="5F811A02" w14:textId="77777777">
        <w:tblPrEx>
          <w:tblCellMar>
            <w:top w:w="0" w:type="dxa"/>
            <w:bottom w:w="0" w:type="dxa"/>
          </w:tblCellMar>
        </w:tblPrEx>
        <w:trPr>
          <w:cantSplit/>
        </w:trPr>
        <w:tc>
          <w:tcPr>
            <w:tcW w:w="1400" w:type="dxa"/>
            <w:shd w:val="clear" w:color="auto" w:fill="FFFFFF"/>
            <w:tcMar>
              <w:top w:w="70" w:type="dxa"/>
              <w:left w:w="100" w:type="dxa"/>
              <w:bottom w:w="70" w:type="dxa"/>
              <w:right w:w="100" w:type="dxa"/>
            </w:tcMar>
          </w:tcPr>
          <w:p w14:paraId="02D4AD09" w14:textId="77777777" w:rsidR="002F7CD0" w:rsidRDefault="00000000">
            <w:pPr>
              <w:spacing w:after="30"/>
            </w:pPr>
            <w:r>
              <w:rPr>
                <w:b/>
                <w:bCs/>
                <w:color w:val="000000"/>
                <w:sz w:val="17"/>
                <w:szCs w:val="17"/>
              </w:rPr>
              <w:t>LARS</w:t>
            </w:r>
          </w:p>
        </w:tc>
        <w:tc>
          <w:tcPr>
            <w:tcW w:w="5440" w:type="dxa"/>
            <w:shd w:val="clear" w:color="auto" w:fill="FFFFFF"/>
            <w:tcMar>
              <w:top w:w="70" w:type="dxa"/>
              <w:left w:w="100" w:type="dxa"/>
              <w:bottom w:w="70" w:type="dxa"/>
              <w:right w:w="100" w:type="dxa"/>
            </w:tcMar>
          </w:tcPr>
          <w:p w14:paraId="33FEDA6F" w14:textId="77777777" w:rsidR="002F7CD0" w:rsidRDefault="00000000">
            <w:pPr>
              <w:spacing w:after="30"/>
            </w:pPr>
            <w:r>
              <w:rPr>
                <w:color w:val="000000"/>
                <w:sz w:val="17"/>
                <w:szCs w:val="17"/>
              </w:rPr>
              <w:t>Large Load Addition Resource Study (MISO, proposed)</w:t>
            </w:r>
          </w:p>
        </w:tc>
        <w:tc>
          <w:tcPr>
            <w:tcW w:w="1400" w:type="dxa"/>
            <w:shd w:val="clear" w:color="auto" w:fill="FFFFFF"/>
            <w:tcMar>
              <w:top w:w="70" w:type="dxa"/>
              <w:left w:w="100" w:type="dxa"/>
              <w:bottom w:w="70" w:type="dxa"/>
              <w:right w:w="100" w:type="dxa"/>
            </w:tcMar>
          </w:tcPr>
          <w:p w14:paraId="530E9597" w14:textId="77777777" w:rsidR="002F7CD0" w:rsidRDefault="00000000">
            <w:pPr>
              <w:spacing w:after="30"/>
            </w:pPr>
            <w:r>
              <w:rPr>
                <w:b/>
                <w:bCs/>
                <w:color w:val="000000"/>
                <w:sz w:val="17"/>
                <w:szCs w:val="17"/>
              </w:rPr>
              <w:t>PCLR</w:t>
            </w:r>
          </w:p>
        </w:tc>
        <w:tc>
          <w:tcPr>
            <w:tcW w:w="5440" w:type="dxa"/>
            <w:shd w:val="clear" w:color="auto" w:fill="FFFFFF"/>
            <w:tcMar>
              <w:top w:w="70" w:type="dxa"/>
              <w:left w:w="100" w:type="dxa"/>
              <w:bottom w:w="70" w:type="dxa"/>
              <w:right w:w="100" w:type="dxa"/>
            </w:tcMar>
          </w:tcPr>
          <w:p w14:paraId="718D9459" w14:textId="77777777" w:rsidR="002F7CD0" w:rsidRDefault="00000000">
            <w:pPr>
              <w:spacing w:after="30"/>
            </w:pPr>
            <w:r>
              <w:rPr>
                <w:color w:val="000000"/>
                <w:sz w:val="17"/>
                <w:szCs w:val="17"/>
              </w:rPr>
              <w:t>Provisional Controllable Load Resource (ERCOT): a large load that accepts curtailment directives in exchange for queue priority</w:t>
            </w:r>
          </w:p>
        </w:tc>
      </w:tr>
      <w:tr w:rsidR="002F7CD0" w14:paraId="4B3D2146" w14:textId="77777777">
        <w:tblPrEx>
          <w:tblCellMar>
            <w:top w:w="0" w:type="dxa"/>
            <w:bottom w:w="0" w:type="dxa"/>
          </w:tblCellMar>
        </w:tblPrEx>
        <w:trPr>
          <w:cantSplit/>
        </w:trPr>
        <w:tc>
          <w:tcPr>
            <w:tcW w:w="1400" w:type="dxa"/>
            <w:shd w:val="clear" w:color="auto" w:fill="F2F6FB"/>
            <w:tcMar>
              <w:top w:w="70" w:type="dxa"/>
              <w:left w:w="100" w:type="dxa"/>
              <w:bottom w:w="70" w:type="dxa"/>
              <w:right w:w="100" w:type="dxa"/>
            </w:tcMar>
          </w:tcPr>
          <w:p w14:paraId="76CFAC58" w14:textId="77777777" w:rsidR="002F7CD0" w:rsidRDefault="00000000">
            <w:pPr>
              <w:spacing w:after="30"/>
            </w:pPr>
            <w:r>
              <w:rPr>
                <w:b/>
                <w:bCs/>
                <w:color w:val="000000"/>
                <w:sz w:val="17"/>
                <w:szCs w:val="17"/>
              </w:rPr>
              <w:t>LLWG</w:t>
            </w:r>
          </w:p>
        </w:tc>
        <w:tc>
          <w:tcPr>
            <w:tcW w:w="5440" w:type="dxa"/>
            <w:shd w:val="clear" w:color="auto" w:fill="F2F6FB"/>
            <w:tcMar>
              <w:top w:w="70" w:type="dxa"/>
              <w:left w:w="100" w:type="dxa"/>
              <w:bottom w:w="70" w:type="dxa"/>
              <w:right w:w="100" w:type="dxa"/>
            </w:tcMar>
          </w:tcPr>
          <w:p w14:paraId="1813A235" w14:textId="77777777" w:rsidR="002F7CD0" w:rsidRDefault="00000000">
            <w:pPr>
              <w:spacing w:after="30"/>
            </w:pPr>
            <w:r>
              <w:rPr>
                <w:color w:val="000000"/>
                <w:sz w:val="17"/>
                <w:szCs w:val="17"/>
              </w:rPr>
              <w:t>Large Load Working Group (MISO stakeholder forum)</w:t>
            </w:r>
          </w:p>
        </w:tc>
        <w:tc>
          <w:tcPr>
            <w:tcW w:w="1400" w:type="dxa"/>
            <w:shd w:val="clear" w:color="auto" w:fill="F2F6FB"/>
            <w:tcMar>
              <w:top w:w="70" w:type="dxa"/>
              <w:left w:w="100" w:type="dxa"/>
              <w:bottom w:w="70" w:type="dxa"/>
              <w:right w:w="100" w:type="dxa"/>
            </w:tcMar>
          </w:tcPr>
          <w:p w14:paraId="44429702" w14:textId="77777777" w:rsidR="002F7CD0" w:rsidRDefault="00000000">
            <w:pPr>
              <w:spacing w:after="30"/>
            </w:pPr>
            <w:r>
              <w:rPr>
                <w:b/>
                <w:bCs/>
                <w:color w:val="000000"/>
                <w:sz w:val="17"/>
                <w:szCs w:val="17"/>
              </w:rPr>
              <w:t>TSP / DSP</w:t>
            </w:r>
          </w:p>
        </w:tc>
        <w:tc>
          <w:tcPr>
            <w:tcW w:w="5440" w:type="dxa"/>
            <w:shd w:val="clear" w:color="auto" w:fill="F2F6FB"/>
            <w:tcMar>
              <w:top w:w="70" w:type="dxa"/>
              <w:left w:w="100" w:type="dxa"/>
              <w:bottom w:w="70" w:type="dxa"/>
              <w:right w:w="100" w:type="dxa"/>
            </w:tcMar>
          </w:tcPr>
          <w:p w14:paraId="49A7F3B4" w14:textId="77777777" w:rsidR="002F7CD0" w:rsidRDefault="00000000">
            <w:pPr>
              <w:spacing w:after="30"/>
            </w:pPr>
            <w:r>
              <w:rPr>
                <w:color w:val="000000"/>
                <w:sz w:val="17"/>
                <w:szCs w:val="17"/>
              </w:rPr>
              <w:t>Transmission Service Provider / Distribution Service Provider (Texas wires utilities)</w:t>
            </w:r>
          </w:p>
        </w:tc>
      </w:tr>
      <w:tr w:rsidR="002F7CD0" w14:paraId="4C499B21" w14:textId="77777777">
        <w:tblPrEx>
          <w:tblCellMar>
            <w:top w:w="0" w:type="dxa"/>
            <w:bottom w:w="0" w:type="dxa"/>
          </w:tblCellMar>
        </w:tblPrEx>
        <w:trPr>
          <w:cantSplit/>
        </w:trPr>
        <w:tc>
          <w:tcPr>
            <w:tcW w:w="1400" w:type="dxa"/>
            <w:shd w:val="clear" w:color="auto" w:fill="FFFFFF"/>
            <w:tcMar>
              <w:top w:w="70" w:type="dxa"/>
              <w:left w:w="100" w:type="dxa"/>
              <w:bottom w:w="70" w:type="dxa"/>
              <w:right w:w="100" w:type="dxa"/>
            </w:tcMar>
          </w:tcPr>
          <w:p w14:paraId="03324EF4" w14:textId="77777777" w:rsidR="002F7CD0" w:rsidRDefault="00000000">
            <w:pPr>
              <w:spacing w:after="30"/>
            </w:pPr>
            <w:r>
              <w:rPr>
                <w:b/>
                <w:bCs/>
                <w:color w:val="000000"/>
                <w:sz w:val="17"/>
                <w:szCs w:val="17"/>
              </w:rPr>
              <w:t>LRZ</w:t>
            </w:r>
          </w:p>
        </w:tc>
        <w:tc>
          <w:tcPr>
            <w:tcW w:w="5440" w:type="dxa"/>
            <w:shd w:val="clear" w:color="auto" w:fill="FFFFFF"/>
            <w:tcMar>
              <w:top w:w="70" w:type="dxa"/>
              <w:left w:w="100" w:type="dxa"/>
              <w:bottom w:w="70" w:type="dxa"/>
              <w:right w:w="100" w:type="dxa"/>
            </w:tcMar>
          </w:tcPr>
          <w:p w14:paraId="3C0B95EC" w14:textId="77777777" w:rsidR="002F7CD0" w:rsidRDefault="00000000">
            <w:pPr>
              <w:spacing w:after="30"/>
            </w:pPr>
            <w:r>
              <w:rPr>
                <w:color w:val="000000"/>
                <w:sz w:val="17"/>
                <w:szCs w:val="17"/>
              </w:rPr>
              <w:t>Local Resource Zone (MISO resource adequacy zone)</w:t>
            </w:r>
          </w:p>
        </w:tc>
        <w:tc>
          <w:tcPr>
            <w:tcW w:w="1400" w:type="dxa"/>
            <w:shd w:val="clear" w:color="auto" w:fill="FFFFFF"/>
            <w:tcMar>
              <w:top w:w="70" w:type="dxa"/>
              <w:left w:w="100" w:type="dxa"/>
              <w:bottom w:w="70" w:type="dxa"/>
              <w:right w:w="100" w:type="dxa"/>
            </w:tcMar>
          </w:tcPr>
          <w:p w14:paraId="238349D1" w14:textId="77777777" w:rsidR="002F7CD0" w:rsidRDefault="00000000">
            <w:pPr>
              <w:spacing w:after="30"/>
            </w:pPr>
            <w:r>
              <w:rPr>
                <w:b/>
                <w:bCs/>
                <w:color w:val="000000"/>
                <w:sz w:val="17"/>
                <w:szCs w:val="17"/>
              </w:rPr>
              <w:t>NPRR / PGRR</w:t>
            </w:r>
          </w:p>
        </w:tc>
        <w:tc>
          <w:tcPr>
            <w:tcW w:w="5440" w:type="dxa"/>
            <w:shd w:val="clear" w:color="auto" w:fill="FFFFFF"/>
            <w:tcMar>
              <w:top w:w="70" w:type="dxa"/>
              <w:left w:w="100" w:type="dxa"/>
              <w:bottom w:w="70" w:type="dxa"/>
              <w:right w:w="100" w:type="dxa"/>
            </w:tcMar>
          </w:tcPr>
          <w:p w14:paraId="7EB3A18D" w14:textId="77777777" w:rsidR="002F7CD0" w:rsidRDefault="00000000">
            <w:pPr>
              <w:spacing w:after="30"/>
            </w:pPr>
            <w:r>
              <w:rPr>
                <w:color w:val="000000"/>
                <w:sz w:val="17"/>
                <w:szCs w:val="17"/>
              </w:rPr>
              <w:t>Nodal Protocol Revision Request / Planning Guide Revision Request (ERCOT rule changes)</w:t>
            </w:r>
          </w:p>
        </w:tc>
      </w:tr>
      <w:tr w:rsidR="002F7CD0" w14:paraId="7E01E345" w14:textId="77777777">
        <w:tblPrEx>
          <w:tblCellMar>
            <w:top w:w="0" w:type="dxa"/>
            <w:bottom w:w="0" w:type="dxa"/>
          </w:tblCellMar>
        </w:tblPrEx>
        <w:trPr>
          <w:cantSplit/>
        </w:trPr>
        <w:tc>
          <w:tcPr>
            <w:tcW w:w="1400" w:type="dxa"/>
            <w:shd w:val="clear" w:color="auto" w:fill="F2F6FB"/>
            <w:tcMar>
              <w:top w:w="70" w:type="dxa"/>
              <w:left w:w="100" w:type="dxa"/>
              <w:bottom w:w="70" w:type="dxa"/>
              <w:right w:w="100" w:type="dxa"/>
            </w:tcMar>
          </w:tcPr>
          <w:p w14:paraId="3ED11309" w14:textId="77777777" w:rsidR="002F7CD0" w:rsidRDefault="00000000">
            <w:pPr>
              <w:spacing w:after="30"/>
            </w:pPr>
            <w:r>
              <w:rPr>
                <w:b/>
                <w:bCs/>
                <w:color w:val="000000"/>
                <w:sz w:val="17"/>
                <w:szCs w:val="17"/>
              </w:rPr>
              <w:t>MTEP / MTEP25</w:t>
            </w:r>
          </w:p>
        </w:tc>
        <w:tc>
          <w:tcPr>
            <w:tcW w:w="5440" w:type="dxa"/>
            <w:shd w:val="clear" w:color="auto" w:fill="F2F6FB"/>
            <w:tcMar>
              <w:top w:w="70" w:type="dxa"/>
              <w:left w:w="100" w:type="dxa"/>
              <w:bottom w:w="70" w:type="dxa"/>
              <w:right w:w="100" w:type="dxa"/>
            </w:tcMar>
          </w:tcPr>
          <w:p w14:paraId="75D41622" w14:textId="77777777" w:rsidR="002F7CD0" w:rsidRDefault="00000000">
            <w:pPr>
              <w:spacing w:after="30"/>
            </w:pPr>
            <w:r>
              <w:rPr>
                <w:color w:val="000000"/>
                <w:sz w:val="17"/>
                <w:szCs w:val="17"/>
              </w:rPr>
              <w:t>MISO Transmission Expansion Plan / the 2025 plan cycle</w:t>
            </w:r>
          </w:p>
        </w:tc>
        <w:tc>
          <w:tcPr>
            <w:tcW w:w="1400" w:type="dxa"/>
            <w:shd w:val="clear" w:color="auto" w:fill="F2F6FB"/>
            <w:tcMar>
              <w:top w:w="70" w:type="dxa"/>
              <w:left w:w="100" w:type="dxa"/>
              <w:bottom w:w="70" w:type="dxa"/>
              <w:right w:w="100" w:type="dxa"/>
            </w:tcMar>
          </w:tcPr>
          <w:p w14:paraId="64621CB2" w14:textId="77777777" w:rsidR="002F7CD0" w:rsidRDefault="00000000">
            <w:pPr>
              <w:spacing w:after="30"/>
            </w:pPr>
            <w:r>
              <w:rPr>
                <w:b/>
                <w:bCs/>
                <w:color w:val="000000"/>
                <w:sz w:val="17"/>
                <w:szCs w:val="17"/>
              </w:rPr>
              <w:t>4CP</w:t>
            </w:r>
          </w:p>
        </w:tc>
        <w:tc>
          <w:tcPr>
            <w:tcW w:w="5440" w:type="dxa"/>
            <w:shd w:val="clear" w:color="auto" w:fill="F2F6FB"/>
            <w:tcMar>
              <w:top w:w="70" w:type="dxa"/>
              <w:left w:w="100" w:type="dxa"/>
              <w:bottom w:w="70" w:type="dxa"/>
              <w:right w:w="100" w:type="dxa"/>
            </w:tcMar>
          </w:tcPr>
          <w:p w14:paraId="22F3CCBB" w14:textId="77777777" w:rsidR="002F7CD0" w:rsidRDefault="00000000">
            <w:pPr>
              <w:spacing w:after="30"/>
            </w:pPr>
            <w:r>
              <w:rPr>
                <w:color w:val="000000"/>
                <w:sz w:val="17"/>
                <w:szCs w:val="17"/>
              </w:rPr>
              <w:t>Four Coincident Peak: ERCOT transmission cost allocation based on demand at the four summer monthly peaks</w:t>
            </w:r>
          </w:p>
        </w:tc>
      </w:tr>
      <w:tr w:rsidR="002F7CD0" w14:paraId="69584D2E" w14:textId="77777777">
        <w:tblPrEx>
          <w:tblCellMar>
            <w:top w:w="0" w:type="dxa"/>
            <w:bottom w:w="0" w:type="dxa"/>
          </w:tblCellMar>
        </w:tblPrEx>
        <w:trPr>
          <w:cantSplit/>
        </w:trPr>
        <w:tc>
          <w:tcPr>
            <w:tcW w:w="1400" w:type="dxa"/>
            <w:shd w:val="clear" w:color="auto" w:fill="FFFFFF"/>
            <w:tcMar>
              <w:top w:w="70" w:type="dxa"/>
              <w:left w:w="100" w:type="dxa"/>
              <w:bottom w:w="70" w:type="dxa"/>
              <w:right w:w="100" w:type="dxa"/>
            </w:tcMar>
          </w:tcPr>
          <w:p w14:paraId="2978B6E5" w14:textId="77777777" w:rsidR="002F7CD0" w:rsidRDefault="00000000">
            <w:pPr>
              <w:spacing w:after="30"/>
            </w:pPr>
            <w:r>
              <w:rPr>
                <w:b/>
                <w:bCs/>
                <w:color w:val="000000"/>
                <w:sz w:val="17"/>
                <w:szCs w:val="17"/>
              </w:rPr>
              <w:t>NERC</w:t>
            </w:r>
          </w:p>
        </w:tc>
        <w:tc>
          <w:tcPr>
            <w:tcW w:w="5440" w:type="dxa"/>
            <w:shd w:val="clear" w:color="auto" w:fill="FFFFFF"/>
            <w:tcMar>
              <w:top w:w="70" w:type="dxa"/>
              <w:left w:w="100" w:type="dxa"/>
              <w:bottom w:w="70" w:type="dxa"/>
              <w:right w:w="100" w:type="dxa"/>
            </w:tcMar>
          </w:tcPr>
          <w:p w14:paraId="170D272A" w14:textId="77777777" w:rsidR="002F7CD0" w:rsidRDefault="00000000">
            <w:pPr>
              <w:spacing w:after="30"/>
            </w:pPr>
            <w:r>
              <w:rPr>
                <w:color w:val="000000"/>
                <w:sz w:val="17"/>
                <w:szCs w:val="17"/>
              </w:rPr>
              <w:t>North American Electric Reliability Corporation</w:t>
            </w:r>
          </w:p>
        </w:tc>
        <w:tc>
          <w:tcPr>
            <w:tcW w:w="1400" w:type="dxa"/>
            <w:shd w:val="clear" w:color="auto" w:fill="FFFFFF"/>
            <w:tcMar>
              <w:top w:w="70" w:type="dxa"/>
              <w:left w:w="100" w:type="dxa"/>
              <w:bottom w:w="70" w:type="dxa"/>
              <w:right w:w="100" w:type="dxa"/>
            </w:tcMar>
          </w:tcPr>
          <w:p w14:paraId="6EA44408" w14:textId="77777777" w:rsidR="002F7CD0" w:rsidRDefault="00000000">
            <w:pPr>
              <w:spacing w:after="30"/>
            </w:pPr>
            <w:r>
              <w:rPr>
                <w:b/>
                <w:bCs/>
                <w:color w:val="000000"/>
                <w:sz w:val="17"/>
                <w:szCs w:val="17"/>
              </w:rPr>
              <w:t>EL / ER / RD</w:t>
            </w:r>
          </w:p>
        </w:tc>
        <w:tc>
          <w:tcPr>
            <w:tcW w:w="5440" w:type="dxa"/>
            <w:shd w:val="clear" w:color="auto" w:fill="FFFFFF"/>
            <w:tcMar>
              <w:top w:w="70" w:type="dxa"/>
              <w:left w:w="100" w:type="dxa"/>
              <w:bottom w:w="70" w:type="dxa"/>
              <w:right w:w="100" w:type="dxa"/>
            </w:tcMar>
          </w:tcPr>
          <w:p w14:paraId="2ED2D594" w14:textId="77777777" w:rsidR="002F7CD0" w:rsidRDefault="00000000">
            <w:pPr>
              <w:spacing w:after="30"/>
            </w:pPr>
            <w:r>
              <w:rPr>
                <w:color w:val="000000"/>
                <w:sz w:val="17"/>
                <w:szCs w:val="17"/>
              </w:rPr>
              <w:t>FERC docket prefixes: EL = complaint or Section 206 proceeding; ER = tariff/rate filing; RD = reliability standard filing</w:t>
            </w:r>
          </w:p>
        </w:tc>
      </w:tr>
    </w:tbl>
    <w:p w14:paraId="7B95C34F" w14:textId="77777777" w:rsidR="002F7CD0" w:rsidRDefault="002F7CD0">
      <w:pPr>
        <w:sectPr w:rsidR="002F7CD0">
          <w:footerReference w:type="default" r:id="rId8"/>
          <w:pgSz w:w="15840" w:h="12240" w:orient="landscape"/>
          <w:pgMar w:top="1080" w:right="1080" w:bottom="1080" w:left="1080" w:header="708" w:footer="708" w:gutter="0"/>
          <w:cols w:space="720"/>
          <w:docGrid w:linePitch="360"/>
        </w:sectPr>
      </w:pPr>
    </w:p>
    <w:p w14:paraId="3B72B997" w14:textId="77777777" w:rsidR="002F7CD0" w:rsidRDefault="00000000">
      <w:pPr>
        <w:pStyle w:val="Heading1"/>
        <w:pBdr>
          <w:bottom w:val="single" w:sz="6" w:space="4" w:color="2E75B6"/>
        </w:pBdr>
        <w:spacing w:before="320" w:after="140"/>
      </w:pPr>
      <w:r>
        <w:rPr>
          <w:b/>
          <w:bCs/>
          <w:color w:val="1F3864"/>
          <w:sz w:val="30"/>
          <w:szCs w:val="30"/>
        </w:rPr>
        <w:t>NERC: Publications and Recommendations</w:t>
      </w:r>
    </w:p>
    <w:p w14:paraId="3B46B47E" w14:textId="77777777" w:rsidR="002F7CD0" w:rsidRDefault="00000000">
      <w:pPr>
        <w:spacing w:after="140" w:line="288" w:lineRule="auto"/>
      </w:pPr>
      <w:r>
        <w:t>While FERC has dealt with access and cost, NERC has been building the reliability rulebook — and in 2026 it shifted from voluntary guidance to mandatory obligations. The trigger was operating experience: documented events in which data centers and crypto-mining facilities dropped large blocks of load within milliseconds of a transmission fault, or oscillated rapidly, behavior that grid models did not anticipate.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460"/>
      </w:tblGrid>
      <w:tr w:rsidR="002F7CD0" w14:paraId="1D3034A3" w14:textId="77777777">
        <w:tblPrEx>
          <w:tblCellMar>
            <w:top w:w="0" w:type="dxa"/>
            <w:bottom w:w="0" w:type="dxa"/>
          </w:tblCellMar>
        </w:tblPrEx>
        <w:trPr>
          <w:tblHeader/>
        </w:trPr>
        <w:tc>
          <w:tcPr>
            <w:tcW w:w="1300" w:type="dxa"/>
            <w:shd w:val="clear" w:color="auto" w:fill="1F3864"/>
            <w:tcMar>
              <w:top w:w="70" w:type="dxa"/>
              <w:left w:w="100" w:type="dxa"/>
              <w:bottom w:w="70" w:type="dxa"/>
              <w:right w:w="100" w:type="dxa"/>
            </w:tcMar>
          </w:tcPr>
          <w:p w14:paraId="22870910" w14:textId="77777777" w:rsidR="002F7CD0" w:rsidRDefault="00000000">
            <w:pPr>
              <w:spacing w:after="30"/>
            </w:pPr>
            <w:r>
              <w:rPr>
                <w:b/>
                <w:bCs/>
                <w:color w:val="FFFFFF"/>
                <w:sz w:val="18"/>
                <w:szCs w:val="18"/>
              </w:rPr>
              <w:t>Date</w:t>
            </w:r>
          </w:p>
        </w:tc>
        <w:tc>
          <w:tcPr>
            <w:tcW w:w="2600" w:type="dxa"/>
            <w:shd w:val="clear" w:color="auto" w:fill="1F3864"/>
            <w:tcMar>
              <w:top w:w="70" w:type="dxa"/>
              <w:left w:w="100" w:type="dxa"/>
              <w:bottom w:w="70" w:type="dxa"/>
              <w:right w:w="100" w:type="dxa"/>
            </w:tcMar>
          </w:tcPr>
          <w:p w14:paraId="317362A3" w14:textId="77777777" w:rsidR="002F7CD0" w:rsidRDefault="00000000">
            <w:pPr>
              <w:spacing w:after="30"/>
            </w:pPr>
            <w:r>
              <w:rPr>
                <w:b/>
                <w:bCs/>
                <w:color w:val="FFFFFF"/>
                <w:sz w:val="18"/>
                <w:szCs w:val="18"/>
              </w:rPr>
              <w:t>Publication / action</w:t>
            </w:r>
          </w:p>
        </w:tc>
        <w:tc>
          <w:tcPr>
            <w:tcW w:w="5460" w:type="dxa"/>
            <w:shd w:val="clear" w:color="auto" w:fill="1F3864"/>
            <w:tcMar>
              <w:top w:w="70" w:type="dxa"/>
              <w:left w:w="100" w:type="dxa"/>
              <w:bottom w:w="70" w:type="dxa"/>
              <w:right w:w="100" w:type="dxa"/>
            </w:tcMar>
          </w:tcPr>
          <w:p w14:paraId="329BC70E" w14:textId="77777777" w:rsidR="002F7CD0" w:rsidRDefault="00000000">
            <w:pPr>
              <w:spacing w:after="30"/>
            </w:pPr>
            <w:r>
              <w:rPr>
                <w:b/>
                <w:bCs/>
                <w:color w:val="FFFFFF"/>
                <w:sz w:val="18"/>
                <w:szCs w:val="18"/>
              </w:rPr>
              <w:t>What it says or requires</w:t>
            </w:r>
          </w:p>
        </w:tc>
      </w:tr>
      <w:tr w:rsidR="002F7CD0" w14:paraId="13D8E66F" w14:textId="77777777">
        <w:tblPrEx>
          <w:tblCellMar>
            <w:top w:w="0" w:type="dxa"/>
            <w:bottom w:w="0" w:type="dxa"/>
          </w:tblCellMar>
        </w:tblPrEx>
        <w:trPr>
          <w:cantSplit/>
        </w:trPr>
        <w:tc>
          <w:tcPr>
            <w:tcW w:w="1300" w:type="dxa"/>
            <w:shd w:val="clear" w:color="auto" w:fill="FFFFFF"/>
            <w:tcMar>
              <w:top w:w="70" w:type="dxa"/>
              <w:left w:w="100" w:type="dxa"/>
              <w:bottom w:w="70" w:type="dxa"/>
              <w:right w:w="100" w:type="dxa"/>
            </w:tcMar>
          </w:tcPr>
          <w:p w14:paraId="5D600ECE" w14:textId="77777777" w:rsidR="002F7CD0" w:rsidRDefault="00000000">
            <w:pPr>
              <w:spacing w:after="30"/>
            </w:pPr>
            <w:r>
              <w:rPr>
                <w:b/>
                <w:bCs/>
                <w:color w:val="000000"/>
                <w:sz w:val="17"/>
                <w:szCs w:val="17"/>
              </w:rPr>
              <w:t>2025</w:t>
            </w:r>
          </w:p>
        </w:tc>
        <w:tc>
          <w:tcPr>
            <w:tcW w:w="2600" w:type="dxa"/>
            <w:shd w:val="clear" w:color="auto" w:fill="FFFFFF"/>
            <w:tcMar>
              <w:top w:w="70" w:type="dxa"/>
              <w:left w:w="100" w:type="dxa"/>
              <w:bottom w:w="70" w:type="dxa"/>
              <w:right w:w="100" w:type="dxa"/>
            </w:tcMar>
          </w:tcPr>
          <w:p w14:paraId="4924DA83" w14:textId="77777777" w:rsidR="002F7CD0" w:rsidRDefault="00000000">
            <w:pPr>
              <w:spacing w:after="30"/>
            </w:pPr>
            <w:r>
              <w:rPr>
                <w:color w:val="000000"/>
                <w:sz w:val="17"/>
                <w:szCs w:val="17"/>
              </w:rPr>
              <w:t>Large Load Task Force white paper (characteristics and risks)</w:t>
            </w:r>
          </w:p>
        </w:tc>
        <w:tc>
          <w:tcPr>
            <w:tcW w:w="5460" w:type="dxa"/>
            <w:shd w:val="clear" w:color="auto" w:fill="FFFFFF"/>
            <w:tcMar>
              <w:top w:w="70" w:type="dxa"/>
              <w:left w:w="100" w:type="dxa"/>
              <w:bottom w:w="70" w:type="dxa"/>
              <w:right w:w="100" w:type="dxa"/>
            </w:tcMar>
          </w:tcPr>
          <w:p w14:paraId="25DFC017" w14:textId="77777777" w:rsidR="002F7CD0" w:rsidRDefault="00000000">
            <w:pPr>
              <w:spacing w:after="30"/>
            </w:pPr>
            <w:r>
              <w:rPr>
                <w:color w:val="000000"/>
                <w:sz w:val="17"/>
                <w:szCs w:val="17"/>
              </w:rPr>
              <w:t>Catalogued how data center, crypto and hydrogen loads behave differently from conventional load: fast ramps, power-electronic interfaces, and sensitivity to voltage dips.</w:t>
            </w:r>
          </w:p>
        </w:tc>
      </w:tr>
      <w:tr w:rsidR="002F7CD0" w14:paraId="6B07768C" w14:textId="77777777">
        <w:tblPrEx>
          <w:tblCellMar>
            <w:top w:w="0" w:type="dxa"/>
            <w:bottom w:w="0" w:type="dxa"/>
          </w:tblCellMar>
        </w:tblPrEx>
        <w:trPr>
          <w:cantSplit/>
        </w:trPr>
        <w:tc>
          <w:tcPr>
            <w:tcW w:w="1300" w:type="dxa"/>
            <w:shd w:val="clear" w:color="auto" w:fill="F2F6FB"/>
            <w:tcMar>
              <w:top w:w="70" w:type="dxa"/>
              <w:left w:w="100" w:type="dxa"/>
              <w:bottom w:w="70" w:type="dxa"/>
              <w:right w:w="100" w:type="dxa"/>
            </w:tcMar>
          </w:tcPr>
          <w:p w14:paraId="030CED05" w14:textId="77777777" w:rsidR="002F7CD0" w:rsidRDefault="00000000">
            <w:pPr>
              <w:spacing w:after="30"/>
            </w:pPr>
            <w:r>
              <w:rPr>
                <w:b/>
                <w:bCs/>
                <w:color w:val="000000"/>
                <w:sz w:val="17"/>
                <w:szCs w:val="17"/>
              </w:rPr>
              <w:t>Sept 2025</w:t>
            </w:r>
          </w:p>
        </w:tc>
        <w:tc>
          <w:tcPr>
            <w:tcW w:w="2600" w:type="dxa"/>
            <w:shd w:val="clear" w:color="auto" w:fill="F2F6FB"/>
            <w:tcMar>
              <w:top w:w="70" w:type="dxa"/>
              <w:left w:w="100" w:type="dxa"/>
              <w:bottom w:w="70" w:type="dxa"/>
              <w:right w:w="100" w:type="dxa"/>
            </w:tcMar>
          </w:tcPr>
          <w:p w14:paraId="21ED913D" w14:textId="77777777" w:rsidR="002F7CD0" w:rsidRDefault="00000000">
            <w:pPr>
              <w:spacing w:after="30"/>
            </w:pPr>
            <w:r>
              <w:rPr>
                <w:color w:val="000000"/>
                <w:sz w:val="17"/>
                <w:szCs w:val="17"/>
              </w:rPr>
              <w:t>Level 2 alert — Industry Recommendation</w:t>
            </w:r>
          </w:p>
        </w:tc>
        <w:tc>
          <w:tcPr>
            <w:tcW w:w="5460" w:type="dxa"/>
            <w:shd w:val="clear" w:color="auto" w:fill="F2F6FB"/>
            <w:tcMar>
              <w:top w:w="70" w:type="dxa"/>
              <w:left w:w="100" w:type="dxa"/>
              <w:bottom w:w="70" w:type="dxa"/>
              <w:right w:w="100" w:type="dxa"/>
            </w:tcMar>
          </w:tcPr>
          <w:p w14:paraId="31E9A263" w14:textId="77777777" w:rsidR="002F7CD0" w:rsidRDefault="00000000">
            <w:pPr>
              <w:spacing w:after="30"/>
            </w:pPr>
            <w:r>
              <w:rPr>
                <w:color w:val="000000"/>
                <w:sz w:val="17"/>
                <w:szCs w:val="17"/>
              </w:rPr>
              <w:t>Flagged inadequate modeling, insufficient technical requirements and lack of operating protocols for large loads.</w:t>
            </w:r>
          </w:p>
        </w:tc>
      </w:tr>
      <w:tr w:rsidR="002F7CD0" w14:paraId="417BE5F0" w14:textId="77777777">
        <w:tblPrEx>
          <w:tblCellMar>
            <w:top w:w="0" w:type="dxa"/>
            <w:bottom w:w="0" w:type="dxa"/>
          </w:tblCellMar>
        </w:tblPrEx>
        <w:trPr>
          <w:cantSplit/>
        </w:trPr>
        <w:tc>
          <w:tcPr>
            <w:tcW w:w="1300" w:type="dxa"/>
            <w:shd w:val="clear" w:color="auto" w:fill="FFFFFF"/>
            <w:tcMar>
              <w:top w:w="70" w:type="dxa"/>
              <w:left w:w="100" w:type="dxa"/>
              <w:bottom w:w="70" w:type="dxa"/>
              <w:right w:w="100" w:type="dxa"/>
            </w:tcMar>
          </w:tcPr>
          <w:p w14:paraId="185BB6BF" w14:textId="77777777" w:rsidR="002F7CD0" w:rsidRDefault="00000000">
            <w:pPr>
              <w:spacing w:after="30"/>
            </w:pPr>
            <w:r>
              <w:rPr>
                <w:b/>
                <w:bCs/>
                <w:color w:val="000000"/>
                <w:sz w:val="17"/>
                <w:szCs w:val="17"/>
              </w:rPr>
              <w:t>Mar 2026</w:t>
            </w:r>
          </w:p>
        </w:tc>
        <w:tc>
          <w:tcPr>
            <w:tcW w:w="2600" w:type="dxa"/>
            <w:shd w:val="clear" w:color="auto" w:fill="FFFFFF"/>
            <w:tcMar>
              <w:top w:w="70" w:type="dxa"/>
              <w:left w:w="100" w:type="dxa"/>
              <w:bottom w:w="70" w:type="dxa"/>
              <w:right w:w="100" w:type="dxa"/>
            </w:tcMar>
          </w:tcPr>
          <w:p w14:paraId="117E87CB" w14:textId="77777777" w:rsidR="002F7CD0" w:rsidRDefault="00000000">
            <w:pPr>
              <w:spacing w:after="30"/>
            </w:pPr>
            <w:r>
              <w:rPr>
                <w:color w:val="000000"/>
                <w:sz w:val="17"/>
                <w:szCs w:val="17"/>
              </w:rPr>
              <w:t>Second white paper (gap analysis)</w:t>
            </w:r>
          </w:p>
        </w:tc>
        <w:tc>
          <w:tcPr>
            <w:tcW w:w="5460" w:type="dxa"/>
            <w:shd w:val="clear" w:color="auto" w:fill="FFFFFF"/>
            <w:tcMar>
              <w:top w:w="70" w:type="dxa"/>
              <w:left w:w="100" w:type="dxa"/>
              <w:bottom w:w="70" w:type="dxa"/>
              <w:right w:w="100" w:type="dxa"/>
            </w:tcMar>
          </w:tcPr>
          <w:p w14:paraId="3E2C3862" w14:textId="77777777" w:rsidR="002F7CD0" w:rsidRDefault="00000000">
            <w:pPr>
              <w:spacing w:after="30"/>
            </w:pPr>
            <w:r>
              <w:rPr>
                <w:color w:val="000000"/>
                <w:sz w:val="17"/>
                <w:szCs w:val="17"/>
              </w:rPr>
              <w:t>Found that NERC standards do not require large loads to provide data, that ride-through requirements are undefined, and that load models are not accurate enough for stability studies. Made 11 recommendations (see below).</w:t>
            </w:r>
          </w:p>
        </w:tc>
      </w:tr>
      <w:tr w:rsidR="002F7CD0" w14:paraId="7A7E4D17" w14:textId="77777777">
        <w:tblPrEx>
          <w:tblCellMar>
            <w:top w:w="0" w:type="dxa"/>
            <w:bottom w:w="0" w:type="dxa"/>
          </w:tblCellMar>
        </w:tblPrEx>
        <w:trPr>
          <w:cantSplit/>
        </w:trPr>
        <w:tc>
          <w:tcPr>
            <w:tcW w:w="1300" w:type="dxa"/>
            <w:shd w:val="clear" w:color="auto" w:fill="F2F6FB"/>
            <w:tcMar>
              <w:top w:w="70" w:type="dxa"/>
              <w:left w:w="100" w:type="dxa"/>
              <w:bottom w:w="70" w:type="dxa"/>
              <w:right w:w="100" w:type="dxa"/>
            </w:tcMar>
          </w:tcPr>
          <w:p w14:paraId="4930F5F6" w14:textId="77777777" w:rsidR="002F7CD0" w:rsidRDefault="00000000">
            <w:pPr>
              <w:spacing w:after="30"/>
            </w:pPr>
            <w:r>
              <w:rPr>
                <w:b/>
                <w:bCs/>
                <w:color w:val="000000"/>
                <w:sz w:val="17"/>
                <w:szCs w:val="17"/>
              </w:rPr>
              <w:t>Apr 1, 2026</w:t>
            </w:r>
          </w:p>
        </w:tc>
        <w:tc>
          <w:tcPr>
            <w:tcW w:w="2600" w:type="dxa"/>
            <w:shd w:val="clear" w:color="auto" w:fill="F2F6FB"/>
            <w:tcMar>
              <w:top w:w="70" w:type="dxa"/>
              <w:left w:w="100" w:type="dxa"/>
              <w:bottom w:w="70" w:type="dxa"/>
              <w:right w:w="100" w:type="dxa"/>
            </w:tcMar>
          </w:tcPr>
          <w:p w14:paraId="7658CD09" w14:textId="77777777" w:rsidR="002F7CD0" w:rsidRDefault="00000000">
            <w:pPr>
              <w:spacing w:after="30"/>
            </w:pPr>
            <w:r>
              <w:rPr>
                <w:color w:val="000000"/>
                <w:sz w:val="17"/>
                <w:szCs w:val="17"/>
              </w:rPr>
              <w:t>Draft registration criteria</w:t>
            </w:r>
          </w:p>
        </w:tc>
        <w:tc>
          <w:tcPr>
            <w:tcW w:w="5460" w:type="dxa"/>
            <w:shd w:val="clear" w:color="auto" w:fill="F2F6FB"/>
            <w:tcMar>
              <w:top w:w="70" w:type="dxa"/>
              <w:left w:w="100" w:type="dxa"/>
              <w:bottom w:w="70" w:type="dxa"/>
              <w:right w:w="100" w:type="dxa"/>
            </w:tcMar>
          </w:tcPr>
          <w:p w14:paraId="47BEB6F9" w14:textId="77777777" w:rsidR="002F7CD0" w:rsidRDefault="00000000">
            <w:pPr>
              <w:spacing w:after="30"/>
            </w:pPr>
            <w:r>
              <w:rPr>
                <w:color w:val="000000"/>
                <w:sz w:val="17"/>
                <w:szCs w:val="17"/>
              </w:rPr>
              <w:t>Proposed a Computational Load Entity: ≥1 MW of IT load and ≥20 MW aggregate at one interconnection point, connected at ≥60 kV.</w:t>
            </w:r>
          </w:p>
        </w:tc>
      </w:tr>
      <w:tr w:rsidR="002F7CD0" w14:paraId="44C69424" w14:textId="77777777">
        <w:tblPrEx>
          <w:tblCellMar>
            <w:top w:w="0" w:type="dxa"/>
            <w:bottom w:w="0" w:type="dxa"/>
          </w:tblCellMar>
        </w:tblPrEx>
        <w:trPr>
          <w:cantSplit/>
        </w:trPr>
        <w:tc>
          <w:tcPr>
            <w:tcW w:w="1300" w:type="dxa"/>
            <w:shd w:val="clear" w:color="auto" w:fill="FFFFFF"/>
            <w:tcMar>
              <w:top w:w="70" w:type="dxa"/>
              <w:left w:w="100" w:type="dxa"/>
              <w:bottom w:w="70" w:type="dxa"/>
              <w:right w:w="100" w:type="dxa"/>
            </w:tcMar>
          </w:tcPr>
          <w:p w14:paraId="5A605501" w14:textId="77777777" w:rsidR="002F7CD0" w:rsidRDefault="00000000">
            <w:pPr>
              <w:spacing w:after="30"/>
            </w:pPr>
            <w:r>
              <w:rPr>
                <w:b/>
                <w:bCs/>
                <w:color w:val="000000"/>
                <w:sz w:val="17"/>
                <w:szCs w:val="17"/>
              </w:rPr>
              <w:t>May 2026</w:t>
            </w:r>
          </w:p>
        </w:tc>
        <w:tc>
          <w:tcPr>
            <w:tcW w:w="2600" w:type="dxa"/>
            <w:shd w:val="clear" w:color="auto" w:fill="FFFFFF"/>
            <w:tcMar>
              <w:top w:w="70" w:type="dxa"/>
              <w:left w:w="100" w:type="dxa"/>
              <w:bottom w:w="70" w:type="dxa"/>
              <w:right w:w="100" w:type="dxa"/>
            </w:tcMar>
          </w:tcPr>
          <w:p w14:paraId="3CA9E5B3" w14:textId="77777777" w:rsidR="002F7CD0" w:rsidRDefault="00000000">
            <w:pPr>
              <w:spacing w:after="30"/>
            </w:pPr>
            <w:r>
              <w:rPr>
                <w:color w:val="000000"/>
                <w:sz w:val="17"/>
                <w:szCs w:val="17"/>
              </w:rPr>
              <w:t>Level 3 alert — Essential Actions (rare)</w:t>
            </w:r>
          </w:p>
        </w:tc>
        <w:tc>
          <w:tcPr>
            <w:tcW w:w="5460" w:type="dxa"/>
            <w:shd w:val="clear" w:color="auto" w:fill="FFFFFF"/>
            <w:tcMar>
              <w:top w:w="70" w:type="dxa"/>
              <w:left w:w="100" w:type="dxa"/>
              <w:bottom w:w="70" w:type="dxa"/>
              <w:right w:w="100" w:type="dxa"/>
            </w:tcMar>
          </w:tcPr>
          <w:p w14:paraId="5CDDD1CD" w14:textId="77777777" w:rsidR="002F7CD0" w:rsidRDefault="00000000">
            <w:pPr>
              <w:spacing w:after="30"/>
            </w:pPr>
            <w:r>
              <w:rPr>
                <w:color w:val="000000"/>
                <w:sz w:val="17"/>
                <w:szCs w:val="17"/>
              </w:rPr>
              <w:t>Seven mandatory actions for planners, transmission operators and balancing authorities: collect model data, min/max MW and IT vs. non-IT load splits; revise protection reviews; set commissioning processes with full-load and no-load tests; install dynamic fault recorders. Responses were due Aug 3, 2026.</w:t>
            </w:r>
          </w:p>
        </w:tc>
      </w:tr>
      <w:tr w:rsidR="002F7CD0" w14:paraId="68454F97" w14:textId="77777777">
        <w:tblPrEx>
          <w:tblCellMar>
            <w:top w:w="0" w:type="dxa"/>
            <w:bottom w:w="0" w:type="dxa"/>
          </w:tblCellMar>
        </w:tblPrEx>
        <w:trPr>
          <w:cantSplit/>
        </w:trPr>
        <w:tc>
          <w:tcPr>
            <w:tcW w:w="1300" w:type="dxa"/>
            <w:shd w:val="clear" w:color="auto" w:fill="F2F6FB"/>
            <w:tcMar>
              <w:top w:w="70" w:type="dxa"/>
              <w:left w:w="100" w:type="dxa"/>
              <w:bottom w:w="70" w:type="dxa"/>
              <w:right w:w="100" w:type="dxa"/>
            </w:tcMar>
          </w:tcPr>
          <w:p w14:paraId="112E0DC9" w14:textId="77777777" w:rsidR="002F7CD0" w:rsidRDefault="00000000">
            <w:pPr>
              <w:spacing w:after="30"/>
            </w:pPr>
            <w:r>
              <w:rPr>
                <w:b/>
                <w:bCs/>
                <w:color w:val="000000"/>
                <w:sz w:val="17"/>
                <w:szCs w:val="17"/>
              </w:rPr>
              <w:t>July 16, 2026</w:t>
            </w:r>
          </w:p>
        </w:tc>
        <w:tc>
          <w:tcPr>
            <w:tcW w:w="2600" w:type="dxa"/>
            <w:shd w:val="clear" w:color="auto" w:fill="F2F6FB"/>
            <w:tcMar>
              <w:top w:w="70" w:type="dxa"/>
              <w:left w:w="100" w:type="dxa"/>
              <w:bottom w:w="70" w:type="dxa"/>
              <w:right w:w="100" w:type="dxa"/>
            </w:tcMar>
          </w:tcPr>
          <w:p w14:paraId="2ED3904B" w14:textId="77777777" w:rsidR="002F7CD0" w:rsidRDefault="00000000">
            <w:pPr>
              <w:spacing w:after="30"/>
            </w:pPr>
            <w:r>
              <w:rPr>
                <w:color w:val="000000"/>
                <w:sz w:val="17"/>
                <w:szCs w:val="17"/>
              </w:rPr>
              <w:t>FERC order directing NERC (RD26-7)</w:t>
            </w:r>
          </w:p>
        </w:tc>
        <w:tc>
          <w:tcPr>
            <w:tcW w:w="5460" w:type="dxa"/>
            <w:shd w:val="clear" w:color="auto" w:fill="F2F6FB"/>
            <w:tcMar>
              <w:top w:w="70" w:type="dxa"/>
              <w:left w:w="100" w:type="dxa"/>
              <w:bottom w:w="70" w:type="dxa"/>
              <w:right w:w="100" w:type="dxa"/>
            </w:tcMar>
          </w:tcPr>
          <w:p w14:paraId="05535089" w14:textId="77777777" w:rsidR="002F7CD0" w:rsidRDefault="00000000">
            <w:pPr>
              <w:spacing w:after="30"/>
            </w:pPr>
            <w:r>
              <w:rPr>
                <w:color w:val="000000"/>
                <w:sz w:val="17"/>
                <w:szCs w:val="17"/>
              </w:rPr>
              <w:t>FERC ordered NERC to file mandatory reliability standards and registry criteria for computational loads by Dec 31, 2026, and a Phase II work plan by Mar 1, 2027. Computational load is defined as power demand from IT equipment (servers, storage, networking).</w:t>
            </w:r>
          </w:p>
        </w:tc>
      </w:tr>
      <w:tr w:rsidR="002F7CD0" w14:paraId="11FDE189" w14:textId="77777777">
        <w:tblPrEx>
          <w:tblCellMar>
            <w:top w:w="0" w:type="dxa"/>
            <w:bottom w:w="0" w:type="dxa"/>
          </w:tblCellMar>
        </w:tblPrEx>
        <w:trPr>
          <w:cantSplit/>
        </w:trPr>
        <w:tc>
          <w:tcPr>
            <w:tcW w:w="1300" w:type="dxa"/>
            <w:shd w:val="clear" w:color="auto" w:fill="FFFFFF"/>
            <w:tcMar>
              <w:top w:w="70" w:type="dxa"/>
              <w:left w:w="100" w:type="dxa"/>
              <w:bottom w:w="70" w:type="dxa"/>
              <w:right w:w="100" w:type="dxa"/>
            </w:tcMar>
          </w:tcPr>
          <w:p w14:paraId="460B3A0F" w14:textId="77777777" w:rsidR="002F7CD0" w:rsidRDefault="00000000">
            <w:pPr>
              <w:spacing w:after="30"/>
            </w:pPr>
            <w:r>
              <w:rPr>
                <w:b/>
                <w:bCs/>
                <w:color w:val="000000"/>
                <w:sz w:val="17"/>
                <w:szCs w:val="17"/>
              </w:rPr>
              <w:t>Aug 19, 2026</w:t>
            </w:r>
          </w:p>
        </w:tc>
        <w:tc>
          <w:tcPr>
            <w:tcW w:w="2600" w:type="dxa"/>
            <w:shd w:val="clear" w:color="auto" w:fill="FFFFFF"/>
            <w:tcMar>
              <w:top w:w="70" w:type="dxa"/>
              <w:left w:w="100" w:type="dxa"/>
              <w:bottom w:w="70" w:type="dxa"/>
              <w:right w:w="100" w:type="dxa"/>
            </w:tcMar>
          </w:tcPr>
          <w:p w14:paraId="37BF21FF" w14:textId="77777777" w:rsidR="002F7CD0" w:rsidRDefault="00000000">
            <w:pPr>
              <w:spacing w:after="30"/>
            </w:pPr>
            <w:r>
              <w:rPr>
                <w:color w:val="000000"/>
                <w:sz w:val="17"/>
                <w:szCs w:val="17"/>
              </w:rPr>
              <w:t>Revised registry proposal (Rules of Procedure)</w:t>
            </w:r>
          </w:p>
        </w:tc>
        <w:tc>
          <w:tcPr>
            <w:tcW w:w="5460" w:type="dxa"/>
            <w:shd w:val="clear" w:color="auto" w:fill="FFFFFF"/>
            <w:tcMar>
              <w:top w:w="70" w:type="dxa"/>
              <w:left w:w="100" w:type="dxa"/>
              <w:bottom w:w="70" w:type="dxa"/>
              <w:right w:w="100" w:type="dxa"/>
            </w:tcMar>
          </w:tcPr>
          <w:p w14:paraId="3A881797" w14:textId="77777777" w:rsidR="002F7CD0" w:rsidRDefault="00000000">
            <w:pPr>
              <w:spacing w:after="30"/>
            </w:pPr>
            <w:r>
              <w:rPr>
                <w:color w:val="000000"/>
                <w:sz w:val="17"/>
                <w:szCs w:val="17"/>
              </w:rPr>
              <w:t xml:space="preserve">Two new registered functions, Computational Load Owner and Operator, for sites ≥50 MW supplied at ≥100 kV. Comments </w:t>
            </w:r>
            <w:proofErr w:type="gramStart"/>
            <w:r>
              <w:rPr>
                <w:color w:val="000000"/>
                <w:sz w:val="17"/>
                <w:szCs w:val="17"/>
              </w:rPr>
              <w:t>closed</w:t>
            </w:r>
            <w:proofErr w:type="gramEnd"/>
            <w:r>
              <w:rPr>
                <w:color w:val="000000"/>
                <w:sz w:val="17"/>
                <w:szCs w:val="17"/>
              </w:rPr>
              <w:t xml:space="preserve"> Sept 18, 2026; needs NERC Board and FERC approval.</w:t>
            </w:r>
          </w:p>
        </w:tc>
      </w:tr>
      <w:tr w:rsidR="002F7CD0" w14:paraId="480F4F52" w14:textId="77777777">
        <w:tblPrEx>
          <w:tblCellMar>
            <w:top w:w="0" w:type="dxa"/>
            <w:bottom w:w="0" w:type="dxa"/>
          </w:tblCellMar>
        </w:tblPrEx>
        <w:trPr>
          <w:cantSplit/>
        </w:trPr>
        <w:tc>
          <w:tcPr>
            <w:tcW w:w="1300" w:type="dxa"/>
            <w:shd w:val="clear" w:color="auto" w:fill="F2F6FB"/>
            <w:tcMar>
              <w:top w:w="70" w:type="dxa"/>
              <w:left w:w="100" w:type="dxa"/>
              <w:bottom w:w="70" w:type="dxa"/>
              <w:right w:w="100" w:type="dxa"/>
            </w:tcMar>
          </w:tcPr>
          <w:p w14:paraId="53C20AE7" w14:textId="77777777" w:rsidR="002F7CD0" w:rsidRDefault="00000000">
            <w:pPr>
              <w:spacing w:after="30"/>
            </w:pPr>
            <w:r>
              <w:rPr>
                <w:b/>
                <w:bCs/>
                <w:color w:val="000000"/>
                <w:sz w:val="17"/>
                <w:szCs w:val="17"/>
              </w:rPr>
              <w:t>Ongoing</w:t>
            </w:r>
          </w:p>
        </w:tc>
        <w:tc>
          <w:tcPr>
            <w:tcW w:w="2600" w:type="dxa"/>
            <w:shd w:val="clear" w:color="auto" w:fill="F2F6FB"/>
            <w:tcMar>
              <w:top w:w="70" w:type="dxa"/>
              <w:left w:w="100" w:type="dxa"/>
              <w:bottom w:w="70" w:type="dxa"/>
              <w:right w:w="100" w:type="dxa"/>
            </w:tcMar>
          </w:tcPr>
          <w:p w14:paraId="56291A5B" w14:textId="77777777" w:rsidR="002F7CD0" w:rsidRDefault="00000000">
            <w:pPr>
              <w:spacing w:after="30"/>
            </w:pPr>
            <w:r>
              <w:rPr>
                <w:color w:val="000000"/>
                <w:sz w:val="17"/>
                <w:szCs w:val="17"/>
              </w:rPr>
              <w:t>Large Loads Action Plan; Project 2026-02</w:t>
            </w:r>
          </w:p>
        </w:tc>
        <w:tc>
          <w:tcPr>
            <w:tcW w:w="5460" w:type="dxa"/>
            <w:shd w:val="clear" w:color="auto" w:fill="F2F6FB"/>
            <w:tcMar>
              <w:top w:w="70" w:type="dxa"/>
              <w:left w:w="100" w:type="dxa"/>
              <w:bottom w:w="70" w:type="dxa"/>
              <w:right w:w="100" w:type="dxa"/>
            </w:tcMar>
          </w:tcPr>
          <w:p w14:paraId="01E4F81E" w14:textId="77777777" w:rsidR="002F7CD0" w:rsidRDefault="00000000">
            <w:pPr>
              <w:spacing w:after="30"/>
            </w:pPr>
            <w:r>
              <w:rPr>
                <w:color w:val="000000"/>
                <w:sz w:val="17"/>
                <w:szCs w:val="17"/>
              </w:rPr>
              <w:t>Quarterly progress updates; standards drafting for ride-through, ramp-rate limits, real-time coordination, operating-instruction compliance and training.</w:t>
            </w:r>
          </w:p>
        </w:tc>
      </w:tr>
    </w:tbl>
    <w:p w14:paraId="0E62CE04" w14:textId="77777777" w:rsidR="002F7CD0" w:rsidRDefault="002F7CD0">
      <w:pPr>
        <w:spacing w:after="120"/>
      </w:pPr>
    </w:p>
    <w:p w14:paraId="7F863608" w14:textId="77777777" w:rsidR="002F7CD0" w:rsidRDefault="00000000">
      <w:pPr>
        <w:pStyle w:val="Heading2"/>
        <w:spacing w:before="220" w:after="100"/>
      </w:pPr>
      <w:r>
        <w:rPr>
          <w:b/>
          <w:bCs/>
          <w:color w:val="2E75B6"/>
          <w:sz w:val="25"/>
          <w:szCs w:val="25"/>
        </w:rPr>
        <w:t>NERC’s 11 recommendations (March 2026 white paper)</w:t>
      </w:r>
    </w:p>
    <w:p w14:paraId="5AD3D527" w14:textId="77777777" w:rsidR="002F7CD0" w:rsidRDefault="00000000">
      <w:pPr>
        <w:pStyle w:val="ListParagraph"/>
        <w:numPr>
          <w:ilvl w:val="0"/>
          <w:numId w:val="3"/>
        </w:numPr>
        <w:spacing w:after="50"/>
      </w:pPr>
      <w:r>
        <w:rPr>
          <w:sz w:val="20"/>
          <w:szCs w:val="20"/>
        </w:rPr>
        <w:t>Create a new registered entity type for large loads that pose high-impact bulk power system risk.</w:t>
      </w:r>
    </w:p>
    <w:p w14:paraId="0BA529F0" w14:textId="77777777" w:rsidR="002F7CD0" w:rsidRDefault="00000000">
      <w:pPr>
        <w:pStyle w:val="ListParagraph"/>
        <w:numPr>
          <w:ilvl w:val="0"/>
          <w:numId w:val="3"/>
        </w:numPr>
        <w:spacing w:after="50"/>
      </w:pPr>
      <w:r>
        <w:rPr>
          <w:sz w:val="20"/>
          <w:szCs w:val="20"/>
        </w:rPr>
        <w:t>Open Standards Authorization Requests for risks not mitigated by existing standards.</w:t>
      </w:r>
    </w:p>
    <w:p w14:paraId="5A469DD3" w14:textId="77777777" w:rsidR="002F7CD0" w:rsidRDefault="00000000">
      <w:pPr>
        <w:pStyle w:val="ListParagraph"/>
        <w:numPr>
          <w:ilvl w:val="0"/>
          <w:numId w:val="3"/>
        </w:numPr>
        <w:spacing w:after="50"/>
      </w:pPr>
      <w:r>
        <w:rPr>
          <w:sz w:val="20"/>
          <w:szCs w:val="20"/>
        </w:rPr>
        <w:t>Identify near-term mitigations through planning, operations and interconnection improvements.</w:t>
      </w:r>
    </w:p>
    <w:p w14:paraId="622185FC" w14:textId="77777777" w:rsidR="002F7CD0" w:rsidRDefault="00000000">
      <w:pPr>
        <w:pStyle w:val="ListParagraph"/>
        <w:numPr>
          <w:ilvl w:val="0"/>
          <w:numId w:val="3"/>
        </w:numPr>
        <w:spacing w:after="50"/>
      </w:pPr>
      <w:r>
        <w:rPr>
          <w:sz w:val="20"/>
          <w:szCs w:val="20"/>
        </w:rPr>
        <w:t xml:space="preserve">Utilities should coordinate directly with </w:t>
      </w:r>
      <w:proofErr w:type="gramStart"/>
      <w:r>
        <w:rPr>
          <w:sz w:val="20"/>
          <w:szCs w:val="20"/>
        </w:rPr>
        <w:t>large load</w:t>
      </w:r>
      <w:proofErr w:type="gramEnd"/>
      <w:r>
        <w:rPr>
          <w:sz w:val="20"/>
          <w:szCs w:val="20"/>
        </w:rPr>
        <w:t xml:space="preserve"> entities and update their practices.</w:t>
      </w:r>
    </w:p>
    <w:p w14:paraId="3B1E08B0" w14:textId="77777777" w:rsidR="002F7CD0" w:rsidRDefault="00000000">
      <w:pPr>
        <w:pStyle w:val="ListParagraph"/>
        <w:numPr>
          <w:ilvl w:val="0"/>
          <w:numId w:val="3"/>
        </w:numPr>
        <w:spacing w:after="50"/>
      </w:pPr>
      <w:r>
        <w:rPr>
          <w:sz w:val="20"/>
          <w:szCs w:val="20"/>
        </w:rPr>
        <w:t>Transmission owners should revise interconnection requirements and load study processes.</w:t>
      </w:r>
    </w:p>
    <w:p w14:paraId="0A40103F" w14:textId="77777777" w:rsidR="002F7CD0" w:rsidRDefault="00000000">
      <w:pPr>
        <w:pStyle w:val="ListParagraph"/>
        <w:numPr>
          <w:ilvl w:val="0"/>
          <w:numId w:val="3"/>
        </w:numPr>
        <w:spacing w:after="50"/>
      </w:pPr>
      <w:r>
        <w:rPr>
          <w:sz w:val="20"/>
          <w:szCs w:val="20"/>
        </w:rPr>
        <w:t>NERC working groups should assess gaps in load modeling.</w:t>
      </w:r>
    </w:p>
    <w:p w14:paraId="56BBFF3A" w14:textId="77777777" w:rsidR="002F7CD0" w:rsidRDefault="00000000">
      <w:pPr>
        <w:pStyle w:val="ListParagraph"/>
        <w:numPr>
          <w:ilvl w:val="0"/>
          <w:numId w:val="3"/>
        </w:numPr>
        <w:spacing w:after="50"/>
      </w:pPr>
      <w:r>
        <w:rPr>
          <w:sz w:val="20"/>
          <w:szCs w:val="20"/>
        </w:rPr>
        <w:t>NERC working groups should assess cyber and physical security gaps for large load control systems.</w:t>
      </w:r>
    </w:p>
    <w:p w14:paraId="053B32B5" w14:textId="77777777" w:rsidR="002F7CD0" w:rsidRDefault="00000000">
      <w:pPr>
        <w:pStyle w:val="ListParagraph"/>
        <w:numPr>
          <w:ilvl w:val="0"/>
          <w:numId w:val="3"/>
        </w:numPr>
        <w:spacing w:after="50"/>
      </w:pPr>
      <w:r>
        <w:rPr>
          <w:sz w:val="20"/>
          <w:szCs w:val="20"/>
        </w:rPr>
        <w:t>NERC working groups should assess system protection gaps.</w:t>
      </w:r>
    </w:p>
    <w:p w14:paraId="4B150D0A" w14:textId="77777777" w:rsidR="002F7CD0" w:rsidRDefault="00000000">
      <w:pPr>
        <w:pStyle w:val="ListParagraph"/>
        <w:numPr>
          <w:ilvl w:val="0"/>
          <w:numId w:val="3"/>
        </w:numPr>
        <w:spacing w:after="50"/>
      </w:pPr>
      <w:r>
        <w:rPr>
          <w:sz w:val="20"/>
          <w:szCs w:val="20"/>
        </w:rPr>
        <w:t>Federal regulators should evaluate interconnection requirements for large loads.</w:t>
      </w:r>
    </w:p>
    <w:p w14:paraId="01A216D2" w14:textId="77777777" w:rsidR="002F7CD0" w:rsidRDefault="00000000">
      <w:pPr>
        <w:pStyle w:val="ListParagraph"/>
        <w:numPr>
          <w:ilvl w:val="0"/>
          <w:numId w:val="3"/>
        </w:numPr>
        <w:spacing w:after="50"/>
      </w:pPr>
      <w:r>
        <w:rPr>
          <w:sz w:val="20"/>
          <w:szCs w:val="20"/>
        </w:rPr>
        <w:t>State regulators should evaluate planning and resource adequacy frameworks.</w:t>
      </w:r>
    </w:p>
    <w:p w14:paraId="42523621" w14:textId="77777777" w:rsidR="002F7CD0" w:rsidRDefault="00000000">
      <w:pPr>
        <w:pStyle w:val="ListParagraph"/>
        <w:numPr>
          <w:ilvl w:val="0"/>
          <w:numId w:val="3"/>
        </w:numPr>
        <w:spacing w:after="50"/>
      </w:pPr>
      <w:r>
        <w:rPr>
          <w:sz w:val="20"/>
          <w:szCs w:val="20"/>
        </w:rPr>
        <w:t>Policymakers should review interconnection rules, state regulations and data-sharing obligations.</w:t>
      </w:r>
    </w:p>
    <w:p w14:paraId="66F36089" w14:textId="77777777" w:rsidR="002F7CD0" w:rsidRDefault="00000000">
      <w:pPr>
        <w:spacing w:before="120" w:after="140" w:line="288" w:lineRule="auto"/>
      </w:pPr>
      <w:r>
        <w:t xml:space="preserve">Two points stand out. First, NERC is doing for data centers exactly what it did for inverter-based generation: register the asset owner, require model data, and impose ride-through performance standards. Loads that were invisible to reliability rules are becoming registered entities with compliance obligations, much like a wind or solar plant owner. Second, the thresholds are </w:t>
      </w:r>
      <w:proofErr w:type="gramStart"/>
      <w:r>
        <w:t>converging:</w:t>
      </w:r>
      <w:proofErr w:type="gramEnd"/>
      <w:r>
        <w:t xml:space="preserve"> NERC’s 50 MW at ≥100 kV, </w:t>
      </w:r>
      <w:proofErr w:type="gramStart"/>
      <w:r>
        <w:t>FERC’s</w:t>
      </w:r>
      <w:proofErr w:type="gramEnd"/>
      <w:r>
        <w:t xml:space="preserve"> indicated ~50 MW, PJM’s 50 MW site test, and SPP’s 50 MW above 69 kV — all well above the ANOPR’s original 20 MW.</w:t>
      </w:r>
    </w:p>
    <w:p w14:paraId="21CB5731" w14:textId="77777777" w:rsidR="002F7CD0" w:rsidRDefault="00000000">
      <w:pPr>
        <w:pStyle w:val="Heading1"/>
        <w:pBdr>
          <w:bottom w:val="single" w:sz="6" w:space="4" w:color="2E75B6"/>
        </w:pBdr>
        <w:spacing w:before="320" w:after="140"/>
      </w:pPr>
      <w:r>
        <w:rPr>
          <w:b/>
          <w:bCs/>
          <w:color w:val="1F3864"/>
          <w:sz w:val="30"/>
          <w:szCs w:val="30"/>
        </w:rPr>
        <w:t>ERCOT: The State-Jurisdictional Outlier</w:t>
      </w:r>
    </w:p>
    <w:p w14:paraId="10DCAA1A" w14:textId="77777777" w:rsidR="002F7CD0" w:rsidRDefault="00000000">
      <w:pPr>
        <w:spacing w:after="140" w:line="288" w:lineRule="auto"/>
      </w:pPr>
      <w:r>
        <w:t xml:space="preserve">ERCOT matters to this story for two reasons. It has the largest large-load queue in the country, and because its grid is not synchronously connected across state lines it sits outside FERC’s show-cause orders. Texas has had to build its own framework by statute, and it has arrived at almost </w:t>
      </w:r>
      <w:proofErr w:type="gramStart"/>
      <w:r>
        <w:t>exactly the same</w:t>
      </w:r>
      <w:proofErr w:type="gramEnd"/>
      <w:r>
        <w:t xml:space="preserve"> toolkit.</w:t>
      </w:r>
    </w:p>
    <w:p w14:paraId="7C765CDE" w14:textId="77777777" w:rsidR="002F7CD0" w:rsidRDefault="00000000">
      <w:pPr>
        <w:pStyle w:val="Heading2"/>
        <w:spacing w:before="220" w:after="100"/>
      </w:pPr>
      <w:r>
        <w:rPr>
          <w:b/>
          <w:bCs/>
          <w:color w:val="2E75B6"/>
          <w:sz w:val="25"/>
          <w:szCs w:val="25"/>
        </w:rPr>
        <w:t>Senate Bill 6 and the PUCT rule</w:t>
      </w:r>
    </w:p>
    <w:p w14:paraId="63D59E0B" w14:textId="77777777" w:rsidR="002F7CD0" w:rsidRDefault="00000000">
      <w:pPr>
        <w:pStyle w:val="ListParagraph"/>
        <w:numPr>
          <w:ilvl w:val="0"/>
          <w:numId w:val="2"/>
        </w:numPr>
        <w:spacing w:after="90" w:line="276" w:lineRule="auto"/>
      </w:pPr>
      <w:r>
        <w:rPr>
          <w:b/>
          <w:bCs/>
        </w:rPr>
        <w:t xml:space="preserve">Threshold: </w:t>
      </w:r>
      <w:r>
        <w:t>loads of 75 MW or more at one site are “large load customers.”</w:t>
      </w:r>
    </w:p>
    <w:p w14:paraId="151CED55" w14:textId="77777777" w:rsidR="002F7CD0" w:rsidRDefault="00000000">
      <w:pPr>
        <w:pStyle w:val="ListParagraph"/>
        <w:numPr>
          <w:ilvl w:val="0"/>
          <w:numId w:val="2"/>
        </w:numPr>
        <w:spacing w:after="90" w:line="276" w:lineRule="auto"/>
      </w:pPr>
      <w:r>
        <w:rPr>
          <w:b/>
          <w:bCs/>
        </w:rPr>
        <w:t xml:space="preserve">Entry requirements: </w:t>
      </w:r>
      <w:r>
        <w:t>a $100,000 study fee, demonstrated site control and permitting progress, disclosure of duplicate requests elsewhere in Texas, and disclosure of on-site backup generation able to serve 50% or more of the facility.</w:t>
      </w:r>
    </w:p>
    <w:p w14:paraId="11C9877C" w14:textId="77777777" w:rsidR="002F7CD0" w:rsidRDefault="00000000">
      <w:pPr>
        <w:pStyle w:val="ListParagraph"/>
        <w:numPr>
          <w:ilvl w:val="0"/>
          <w:numId w:val="2"/>
        </w:numPr>
        <w:spacing w:after="90" w:line="276" w:lineRule="auto"/>
      </w:pPr>
      <w:r>
        <w:rPr>
          <w:b/>
          <w:bCs/>
        </w:rPr>
        <w:t xml:space="preserve">Financial security: </w:t>
      </w:r>
      <w:r>
        <w:t>the PUCT’s final rule (Project 58481, adopted September 18, 2026) requires $50,000 per MW of requested capacity at the intermediate-agreement stage, rising to the greater of $50,000/MW or the allocated upgrade cost at the final agreement. Security is released in 20% steps as the load energizes and reaches billing-demand milestones.</w:t>
      </w:r>
    </w:p>
    <w:p w14:paraId="7B5F5CF6" w14:textId="77777777" w:rsidR="002F7CD0" w:rsidRDefault="00000000">
      <w:pPr>
        <w:pStyle w:val="ListParagraph"/>
        <w:numPr>
          <w:ilvl w:val="0"/>
          <w:numId w:val="2"/>
        </w:numPr>
        <w:spacing w:after="90" w:line="276" w:lineRule="auto"/>
      </w:pPr>
      <w:r>
        <w:rPr>
          <w:b/>
          <w:bCs/>
        </w:rPr>
        <w:t xml:space="preserve">Co-location: </w:t>
      </w:r>
      <w:r>
        <w:t>a generator must notify ERCOT before serving a co-located load; ERCOT studies it and the PUCT approves or conditions it (for example, requiring curtailment or reserved grid capacity). Co-located loads must accept an ERCOT-controlled remote disconnect. The PUCT refused to reduce security for co-located generation: it is calculated on gross contracted peak demand, not net grid imports.</w:t>
      </w:r>
    </w:p>
    <w:p w14:paraId="147E3D0F" w14:textId="77777777" w:rsidR="002F7CD0" w:rsidRDefault="00000000">
      <w:pPr>
        <w:pStyle w:val="ListParagraph"/>
        <w:numPr>
          <w:ilvl w:val="0"/>
          <w:numId w:val="2"/>
        </w:numPr>
        <w:spacing w:after="90" w:line="276" w:lineRule="auto"/>
      </w:pPr>
      <w:r>
        <w:rPr>
          <w:b/>
          <w:bCs/>
        </w:rPr>
        <w:t xml:space="preserve">Curtailment: </w:t>
      </w:r>
      <w:r>
        <w:t xml:space="preserve">large loads connected after December 31, </w:t>
      </w:r>
      <w:proofErr w:type="gramStart"/>
      <w:r>
        <w:t>2025</w:t>
      </w:r>
      <w:proofErr w:type="gramEnd"/>
      <w:r>
        <w:t xml:space="preserve"> must curtail, or switch to backup generation, during declared emergencies.</w:t>
      </w:r>
    </w:p>
    <w:p w14:paraId="49F92D4F" w14:textId="77777777" w:rsidR="002F7CD0" w:rsidRDefault="00000000">
      <w:pPr>
        <w:pStyle w:val="ListParagraph"/>
        <w:numPr>
          <w:ilvl w:val="0"/>
          <w:numId w:val="2"/>
        </w:numPr>
        <w:spacing w:after="90" w:line="276" w:lineRule="auto"/>
      </w:pPr>
      <w:r>
        <w:rPr>
          <w:b/>
          <w:bCs/>
        </w:rPr>
        <w:t xml:space="preserve">Cost responsibility: </w:t>
      </w:r>
      <w:r>
        <w:t>large loads pay direct interconnection costs through contributions in aid of construction and are subject to a minimum billing demand under the transmission cost recovery factor, even when relying on behind-the-meter generation.</w:t>
      </w:r>
    </w:p>
    <w:p w14:paraId="774C06C3" w14:textId="77777777" w:rsidR="002F7CD0" w:rsidRDefault="00000000">
      <w:pPr>
        <w:pStyle w:val="Heading2"/>
        <w:spacing w:before="220" w:after="100"/>
      </w:pPr>
      <w:r>
        <w:rPr>
          <w:b/>
          <w:bCs/>
          <w:color w:val="2E75B6"/>
          <w:sz w:val="25"/>
          <w:szCs w:val="25"/>
        </w:rPr>
        <w:t>Batch Zero and the audit pause</w:t>
      </w:r>
    </w:p>
    <w:p w14:paraId="3AAC6997" w14:textId="77777777" w:rsidR="002F7CD0" w:rsidRDefault="00000000">
      <w:pPr>
        <w:spacing w:after="140" w:line="288" w:lineRule="auto"/>
      </w:pPr>
      <w:r>
        <w:t>ERCOT is the first U.S. operator to study large loads in a single centralized batch. Batch Zero (NPRR1325 / PGRR145, effective July 10, 2026) replaced one-at-a-time studies by individual utilities, which had produced a 200+ GW backlog and repeated restudies. ERCOT’s September 2026 classification put about 66 GW (204 projects) into Base Load, about 125 GW (158 projects) into Studied Load, and about 302 GW (373 projects) into Excluded Load, a rough measure of how much of the queue is real. Loads willing to follow ERCOT curtailment directives can enter as Provisional Controllable Load Resources (PCLR) and gain priority.</w:t>
      </w:r>
    </w:p>
    <w:p w14:paraId="035B9E5A" w14:textId="77777777" w:rsidR="002F7CD0" w:rsidRDefault="00000000">
      <w:pPr>
        <w:spacing w:after="140" w:line="288" w:lineRule="auto"/>
      </w:pPr>
      <w:r>
        <w:t xml:space="preserve">Then politics intervened. On August 3, </w:t>
      </w:r>
      <w:proofErr w:type="gramStart"/>
      <w:r>
        <w:t>2026</w:t>
      </w:r>
      <w:proofErr w:type="gramEnd"/>
      <w:r>
        <w:t xml:space="preserve"> Governor Abbott ordered an audit of proposed data center projects covering energy use, water and public incentives, and ERCOT paused new large-load interconnections and energizations pending its completion; in September the pause was extended to state environmental permits. ERCOT aims to report by December 10, 2026, and the original April 2027 Batch Zero completion date is now uncertain. Seventeen loads (about 6.6 GW) that had already cleared stability review remain scheduled. </w:t>
      </w:r>
      <w:proofErr w:type="spellStart"/>
      <w:r>
        <w:t>BloombergNEF</w:t>
      </w:r>
      <w:proofErr w:type="spellEnd"/>
      <w:r>
        <w:t xml:space="preserve"> estimates as much as 49.8 GW of data center demand could be delayed, with $8–15 billion of revenue at risk.</w:t>
      </w:r>
    </w:p>
    <w:p w14:paraId="6CD683A9" w14:textId="77777777" w:rsidR="002F7CD0" w:rsidRDefault="00000000">
      <w:pPr>
        <w:spacing w:after="140" w:line="288" w:lineRule="auto"/>
      </w:pPr>
      <w:r>
        <w:t xml:space="preserve">The </w:t>
      </w:r>
      <w:proofErr w:type="gramStart"/>
      <w:r>
        <w:t>lesson</w:t>
      </w:r>
      <w:proofErr w:type="gramEnd"/>
      <w:r>
        <w:t xml:space="preserve"> for the rest of the country is uncomfortable. Texas built the most streamlined process (batch studies, clear security, curtailment in exchange for priority) and still hit a political brake once the scale became visible. Technical rules can accelerate interconnection; they cannot by themselves secure the social </w:t>
      </w:r>
      <w:proofErr w:type="spellStart"/>
      <w:r>
        <w:t>licence</w:t>
      </w:r>
      <w:proofErr w:type="spellEnd"/>
      <w:r>
        <w:t xml:space="preserve"> for gigawatt-scale load.</w:t>
      </w:r>
    </w:p>
    <w:p w14:paraId="7C85E799" w14:textId="77777777" w:rsidR="002F7CD0" w:rsidRDefault="00000000">
      <w:pPr>
        <w:pStyle w:val="Heading1"/>
        <w:pBdr>
          <w:bottom w:val="single" w:sz="6" w:space="4" w:color="2E75B6"/>
        </w:pBdr>
        <w:spacing w:before="320" w:after="140"/>
      </w:pPr>
      <w:r>
        <w:rPr>
          <w:b/>
          <w:bCs/>
          <w:color w:val="1F3864"/>
          <w:sz w:val="30"/>
          <w:szCs w:val="30"/>
        </w:rPr>
        <w:t>Queue Length and Timelines</w:t>
      </w:r>
    </w:p>
    <w:p w14:paraId="3812C681" w14:textId="77777777" w:rsidR="002F7CD0" w:rsidRDefault="00000000">
      <w:pPr>
        <w:spacing w:after="140" w:line="288" w:lineRule="auto"/>
      </w:pPr>
      <w:r>
        <w:t>Two queues matter for a data center: the load queue (getting the withdrawal studied and served) and the generation queue (getting the supply that will serve it connected). Only the second is well measured nationally.</w:t>
      </w:r>
    </w:p>
    <w:p w14:paraId="43560852" w14:textId="77777777" w:rsidR="002F7CD0" w:rsidRDefault="00000000">
      <w:pPr>
        <w:pStyle w:val="Heading2"/>
        <w:spacing w:before="220" w:after="100"/>
      </w:pPr>
      <w:r>
        <w:rPr>
          <w:b/>
          <w:bCs/>
          <w:color w:val="2E75B6"/>
          <w:sz w:val="25"/>
          <w:szCs w:val="25"/>
        </w:rPr>
        <w:t>Generation queues</w:t>
      </w:r>
    </w:p>
    <w:p w14:paraId="568A1A3D" w14:textId="77777777" w:rsidR="002F7CD0" w:rsidRDefault="00000000">
      <w:pPr>
        <w:spacing w:after="140" w:line="288" w:lineRule="auto"/>
      </w:pPr>
      <w:r>
        <w:t xml:space="preserve">Berkeley Lab’s Queued Up: 2026 Edition (data through end-2025) counts roughly 8,200 active requests </w:t>
      </w:r>
      <w:proofErr w:type="spellStart"/>
      <w:r>
        <w:t>totalling</w:t>
      </w:r>
      <w:proofErr w:type="spellEnd"/>
      <w:r>
        <w:t xml:space="preserve"> about 2,061 GW — 1,312 GW of generation and 749 GW of storage — down about 10% from the prior year and well below the ~2,600 GW peak at end-2023. About 549 GW already holds a draft or executed interconnection agreement but has not reached operation. The median project that came online in 2025 took about 61 months from request to commercial operation, and only 13% of capacity that requested interconnection from 2000–2020 had been built by end-2025. Importantly, the dataset excludes load interconnection requests.</w:t>
      </w:r>
    </w:p>
    <w:p w14:paraId="0B1D77F2" w14:textId="77777777" w:rsidR="002F7CD0" w:rsidRDefault="00000000">
      <w:pPr>
        <w:spacing w:after="140" w:line="288" w:lineRule="auto"/>
      </w:pPr>
      <w:r>
        <w:t xml:space="preserve">Regionally, PJM’s first post-reform cycle (Cycle 1) held 829 applications </w:t>
      </w:r>
      <w:proofErr w:type="spellStart"/>
      <w:r>
        <w:t>totalling</w:t>
      </w:r>
      <w:proofErr w:type="spellEnd"/>
      <w:r>
        <w:t xml:space="preserve"> roughly 212 GW as of May 2026, and MISO’s queue holds more than 1,100 requests above 200 GW.</w:t>
      </w:r>
    </w:p>
    <w:p w14:paraId="048F33F8" w14:textId="77777777" w:rsidR="002F7CD0" w:rsidRDefault="00000000">
      <w:pPr>
        <w:pStyle w:val="Heading2"/>
        <w:spacing w:before="220" w:after="100"/>
      </w:pPr>
      <w:proofErr w:type="gramStart"/>
      <w:r>
        <w:rPr>
          <w:b/>
          <w:bCs/>
          <w:color w:val="2E75B6"/>
          <w:sz w:val="25"/>
          <w:szCs w:val="25"/>
        </w:rPr>
        <w:t>Load</w:t>
      </w:r>
      <w:proofErr w:type="gramEnd"/>
      <w:r>
        <w:rPr>
          <w:b/>
          <w:bCs/>
          <w:color w:val="2E75B6"/>
          <w:sz w:val="25"/>
          <w:szCs w:val="25"/>
        </w:rPr>
        <w:t xml:space="preserve"> queues</w:t>
      </w:r>
    </w:p>
    <w:p w14:paraId="04C9554A" w14:textId="77777777" w:rsidR="002F7CD0" w:rsidRDefault="00000000">
      <w:pPr>
        <w:pStyle w:val="ListParagraph"/>
        <w:numPr>
          <w:ilvl w:val="0"/>
          <w:numId w:val="2"/>
        </w:numPr>
        <w:spacing w:after="90" w:line="276" w:lineRule="auto"/>
      </w:pPr>
      <w:r>
        <w:rPr>
          <w:b/>
          <w:bCs/>
        </w:rPr>
        <w:t xml:space="preserve">ERCOT: </w:t>
      </w:r>
      <w:r>
        <w:t>roughly 474 GW of large-load requests, about 90% data centers; only about 66 GW was classified as Base Load in Batch Zero, and roughly 302 GW was excluded.</w:t>
      </w:r>
    </w:p>
    <w:p w14:paraId="3AD9A118" w14:textId="77777777" w:rsidR="002F7CD0" w:rsidRDefault="00000000">
      <w:pPr>
        <w:pStyle w:val="ListParagraph"/>
        <w:numPr>
          <w:ilvl w:val="0"/>
          <w:numId w:val="2"/>
        </w:numPr>
        <w:spacing w:after="90" w:line="276" w:lineRule="auto"/>
      </w:pPr>
      <w:r>
        <w:rPr>
          <w:b/>
          <w:bCs/>
        </w:rPr>
        <w:t xml:space="preserve">PJM: </w:t>
      </w:r>
      <w:r>
        <w:t>forecasts roughly 70 GW of new large load by 2038, against about 15 GW of generation retired since 2022.</w:t>
      </w:r>
    </w:p>
    <w:p w14:paraId="4A05EBD0" w14:textId="77777777" w:rsidR="002F7CD0" w:rsidRDefault="00000000">
      <w:pPr>
        <w:pStyle w:val="ListParagraph"/>
        <w:numPr>
          <w:ilvl w:val="0"/>
          <w:numId w:val="2"/>
        </w:numPr>
        <w:spacing w:after="90" w:line="276" w:lineRule="auto"/>
      </w:pPr>
      <w:r>
        <w:rPr>
          <w:b/>
          <w:bCs/>
        </w:rPr>
        <w:t xml:space="preserve">SPP: </w:t>
      </w:r>
      <w:r>
        <w:t>expects peak load to rise from about 56 GW to 105 GW within ten years, driven in part by data centers.</w:t>
      </w:r>
    </w:p>
    <w:p w14:paraId="60345916" w14:textId="77777777" w:rsidR="002F7CD0" w:rsidRDefault="00000000">
      <w:pPr>
        <w:pStyle w:val="ListParagraph"/>
        <w:numPr>
          <w:ilvl w:val="0"/>
          <w:numId w:val="2"/>
        </w:numPr>
        <w:spacing w:after="90" w:line="276" w:lineRule="auto"/>
      </w:pPr>
      <w:r>
        <w:rPr>
          <w:b/>
          <w:bCs/>
        </w:rPr>
        <w:t xml:space="preserve">MISO: </w:t>
      </w:r>
      <w:r>
        <w:t>approved transmission for a record 11.6 GW of large-load additions in MTEP25, 9.7 GW of it through Expedited Project Review.</w:t>
      </w:r>
    </w:p>
    <w:p w14:paraId="534A889E" w14:textId="77777777" w:rsidR="002F7CD0" w:rsidRDefault="00000000">
      <w:pPr>
        <w:pStyle w:val="Heading2"/>
        <w:spacing w:before="220" w:after="100"/>
      </w:pPr>
      <w:r>
        <w:rPr>
          <w:b/>
          <w:bCs/>
          <w:color w:val="2E75B6"/>
          <w:sz w:val="25"/>
          <w:szCs w:val="25"/>
        </w:rPr>
        <w:t>Indicative timelines by pathway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360"/>
      </w:tblGrid>
      <w:tr w:rsidR="002F7CD0" w14:paraId="184BF55C" w14:textId="77777777">
        <w:tblPrEx>
          <w:tblCellMar>
            <w:top w:w="0" w:type="dxa"/>
            <w:bottom w:w="0" w:type="dxa"/>
          </w:tblCellMar>
        </w:tblPrEx>
        <w:trPr>
          <w:tblHeader/>
        </w:trPr>
        <w:tc>
          <w:tcPr>
            <w:tcW w:w="3000" w:type="dxa"/>
            <w:shd w:val="clear" w:color="auto" w:fill="1F3864"/>
            <w:tcMar>
              <w:top w:w="70" w:type="dxa"/>
              <w:left w:w="100" w:type="dxa"/>
              <w:bottom w:w="70" w:type="dxa"/>
              <w:right w:w="100" w:type="dxa"/>
            </w:tcMar>
          </w:tcPr>
          <w:p w14:paraId="6D67F741" w14:textId="77777777" w:rsidR="002F7CD0" w:rsidRDefault="00000000">
            <w:pPr>
              <w:spacing w:after="30"/>
            </w:pPr>
            <w:r>
              <w:rPr>
                <w:b/>
                <w:bCs/>
                <w:color w:val="FFFFFF"/>
                <w:sz w:val="18"/>
                <w:szCs w:val="18"/>
              </w:rPr>
              <w:t>Pathway</w:t>
            </w:r>
          </w:p>
        </w:tc>
        <w:tc>
          <w:tcPr>
            <w:tcW w:w="3000" w:type="dxa"/>
            <w:shd w:val="clear" w:color="auto" w:fill="1F3864"/>
            <w:tcMar>
              <w:top w:w="70" w:type="dxa"/>
              <w:left w:w="100" w:type="dxa"/>
              <w:bottom w:w="70" w:type="dxa"/>
              <w:right w:w="100" w:type="dxa"/>
            </w:tcMar>
          </w:tcPr>
          <w:p w14:paraId="48855AFE" w14:textId="77777777" w:rsidR="002F7CD0" w:rsidRDefault="00000000">
            <w:pPr>
              <w:spacing w:after="30"/>
            </w:pPr>
            <w:r>
              <w:rPr>
                <w:b/>
                <w:bCs/>
                <w:color w:val="FFFFFF"/>
                <w:sz w:val="18"/>
                <w:szCs w:val="18"/>
              </w:rPr>
              <w:t>Study / approval time</w:t>
            </w:r>
          </w:p>
        </w:tc>
        <w:tc>
          <w:tcPr>
            <w:tcW w:w="3360" w:type="dxa"/>
            <w:shd w:val="clear" w:color="auto" w:fill="1F3864"/>
            <w:tcMar>
              <w:top w:w="70" w:type="dxa"/>
              <w:left w:w="100" w:type="dxa"/>
              <w:bottom w:w="70" w:type="dxa"/>
              <w:right w:w="100" w:type="dxa"/>
            </w:tcMar>
          </w:tcPr>
          <w:p w14:paraId="3F00AF25" w14:textId="77777777" w:rsidR="002F7CD0" w:rsidRDefault="00000000">
            <w:pPr>
              <w:spacing w:after="30"/>
            </w:pPr>
            <w:r>
              <w:rPr>
                <w:b/>
                <w:bCs/>
                <w:color w:val="FFFFFF"/>
                <w:sz w:val="18"/>
                <w:szCs w:val="18"/>
              </w:rPr>
              <w:t>Notes</w:t>
            </w:r>
          </w:p>
        </w:tc>
      </w:tr>
      <w:tr w:rsidR="002F7CD0" w14:paraId="71BE2A16" w14:textId="77777777">
        <w:tblPrEx>
          <w:tblCellMar>
            <w:top w:w="0" w:type="dxa"/>
            <w:bottom w:w="0" w:type="dxa"/>
          </w:tblCellMar>
        </w:tblPrEx>
        <w:trPr>
          <w:cantSplit/>
        </w:trPr>
        <w:tc>
          <w:tcPr>
            <w:tcW w:w="3000" w:type="dxa"/>
            <w:shd w:val="clear" w:color="auto" w:fill="FFFFFF"/>
            <w:tcMar>
              <w:top w:w="70" w:type="dxa"/>
              <w:left w:w="100" w:type="dxa"/>
              <w:bottom w:w="70" w:type="dxa"/>
              <w:right w:w="100" w:type="dxa"/>
            </w:tcMar>
          </w:tcPr>
          <w:p w14:paraId="351098DF" w14:textId="77777777" w:rsidR="002F7CD0" w:rsidRDefault="00000000">
            <w:pPr>
              <w:spacing w:after="30"/>
            </w:pPr>
            <w:r>
              <w:rPr>
                <w:b/>
                <w:bCs/>
                <w:color w:val="000000"/>
                <w:sz w:val="17"/>
                <w:szCs w:val="17"/>
              </w:rPr>
              <w:t>Standard generator queue (national median)</w:t>
            </w:r>
          </w:p>
        </w:tc>
        <w:tc>
          <w:tcPr>
            <w:tcW w:w="3000" w:type="dxa"/>
            <w:shd w:val="clear" w:color="auto" w:fill="FFFFFF"/>
            <w:tcMar>
              <w:top w:w="70" w:type="dxa"/>
              <w:left w:w="100" w:type="dxa"/>
              <w:bottom w:w="70" w:type="dxa"/>
              <w:right w:w="100" w:type="dxa"/>
            </w:tcMar>
          </w:tcPr>
          <w:p w14:paraId="58C583AB" w14:textId="77777777" w:rsidR="002F7CD0" w:rsidRDefault="00000000">
            <w:pPr>
              <w:spacing w:after="30"/>
            </w:pPr>
            <w:r>
              <w:rPr>
                <w:color w:val="000000"/>
                <w:sz w:val="17"/>
                <w:szCs w:val="17"/>
              </w:rPr>
              <w:t>~5 years request-to-COD</w:t>
            </w:r>
          </w:p>
        </w:tc>
        <w:tc>
          <w:tcPr>
            <w:tcW w:w="3360" w:type="dxa"/>
            <w:shd w:val="clear" w:color="auto" w:fill="FFFFFF"/>
            <w:tcMar>
              <w:top w:w="70" w:type="dxa"/>
              <w:left w:w="100" w:type="dxa"/>
              <w:bottom w:w="70" w:type="dxa"/>
              <w:right w:w="100" w:type="dxa"/>
            </w:tcMar>
          </w:tcPr>
          <w:p w14:paraId="2C591D1A" w14:textId="77777777" w:rsidR="002F7CD0" w:rsidRDefault="00000000">
            <w:pPr>
              <w:spacing w:after="30"/>
            </w:pPr>
            <w:r>
              <w:rPr>
                <w:color w:val="000000"/>
                <w:sz w:val="17"/>
                <w:szCs w:val="17"/>
              </w:rPr>
              <w:t>Berkeley Lab, projects completed in 2025</w:t>
            </w:r>
          </w:p>
        </w:tc>
      </w:tr>
      <w:tr w:rsidR="002F7CD0" w14:paraId="1076117C" w14:textId="77777777">
        <w:tblPrEx>
          <w:tblCellMar>
            <w:top w:w="0" w:type="dxa"/>
            <w:bottom w:w="0" w:type="dxa"/>
          </w:tblCellMar>
        </w:tblPrEx>
        <w:trPr>
          <w:cantSplit/>
        </w:trPr>
        <w:tc>
          <w:tcPr>
            <w:tcW w:w="3000" w:type="dxa"/>
            <w:shd w:val="clear" w:color="auto" w:fill="F2F6FB"/>
            <w:tcMar>
              <w:top w:w="70" w:type="dxa"/>
              <w:left w:w="100" w:type="dxa"/>
              <w:bottom w:w="70" w:type="dxa"/>
              <w:right w:w="100" w:type="dxa"/>
            </w:tcMar>
          </w:tcPr>
          <w:p w14:paraId="27617E50" w14:textId="77777777" w:rsidR="002F7CD0" w:rsidRDefault="00000000">
            <w:pPr>
              <w:spacing w:after="30"/>
            </w:pPr>
            <w:r>
              <w:rPr>
                <w:b/>
                <w:bCs/>
                <w:color w:val="000000"/>
                <w:sz w:val="17"/>
                <w:szCs w:val="17"/>
              </w:rPr>
              <w:t>PJM cycle process (generation)</w:t>
            </w:r>
          </w:p>
        </w:tc>
        <w:tc>
          <w:tcPr>
            <w:tcW w:w="3000" w:type="dxa"/>
            <w:shd w:val="clear" w:color="auto" w:fill="F2F6FB"/>
            <w:tcMar>
              <w:top w:w="70" w:type="dxa"/>
              <w:left w:w="100" w:type="dxa"/>
              <w:bottom w:w="70" w:type="dxa"/>
              <w:right w:w="100" w:type="dxa"/>
            </w:tcMar>
          </w:tcPr>
          <w:p w14:paraId="62378153" w14:textId="77777777" w:rsidR="002F7CD0" w:rsidRDefault="00000000">
            <w:pPr>
              <w:spacing w:after="30"/>
            </w:pPr>
            <w:r>
              <w:rPr>
                <w:color w:val="000000"/>
                <w:sz w:val="17"/>
                <w:szCs w:val="17"/>
              </w:rPr>
              <w:t>Phase I ~120 days; three phases plus decision points</w:t>
            </w:r>
          </w:p>
        </w:tc>
        <w:tc>
          <w:tcPr>
            <w:tcW w:w="3360" w:type="dxa"/>
            <w:shd w:val="clear" w:color="auto" w:fill="F2F6FB"/>
            <w:tcMar>
              <w:top w:w="70" w:type="dxa"/>
              <w:left w:w="100" w:type="dxa"/>
              <w:bottom w:w="70" w:type="dxa"/>
              <w:right w:w="100" w:type="dxa"/>
            </w:tcMar>
          </w:tcPr>
          <w:p w14:paraId="06694B30" w14:textId="77777777" w:rsidR="002F7CD0" w:rsidRDefault="00000000">
            <w:pPr>
              <w:spacing w:after="30"/>
            </w:pPr>
            <w:r>
              <w:rPr>
                <w:color w:val="000000"/>
                <w:sz w:val="17"/>
                <w:szCs w:val="17"/>
              </w:rPr>
              <w:t>Cycle 1 applications closed April 2026</w:t>
            </w:r>
          </w:p>
        </w:tc>
      </w:tr>
      <w:tr w:rsidR="002F7CD0" w14:paraId="1CEBD1F7" w14:textId="77777777">
        <w:tblPrEx>
          <w:tblCellMar>
            <w:top w:w="0" w:type="dxa"/>
            <w:bottom w:w="0" w:type="dxa"/>
          </w:tblCellMar>
        </w:tblPrEx>
        <w:trPr>
          <w:cantSplit/>
        </w:trPr>
        <w:tc>
          <w:tcPr>
            <w:tcW w:w="3000" w:type="dxa"/>
            <w:shd w:val="clear" w:color="auto" w:fill="FFFFFF"/>
            <w:tcMar>
              <w:top w:w="70" w:type="dxa"/>
              <w:left w:w="100" w:type="dxa"/>
              <w:bottom w:w="70" w:type="dxa"/>
              <w:right w:w="100" w:type="dxa"/>
            </w:tcMar>
          </w:tcPr>
          <w:p w14:paraId="1C89797F" w14:textId="77777777" w:rsidR="002F7CD0" w:rsidRDefault="00000000">
            <w:pPr>
              <w:spacing w:after="30"/>
            </w:pPr>
            <w:r>
              <w:rPr>
                <w:b/>
                <w:bCs/>
                <w:color w:val="000000"/>
                <w:sz w:val="17"/>
                <w:szCs w:val="17"/>
              </w:rPr>
              <w:t>MISO ERAS (generation, temporary)</w:t>
            </w:r>
          </w:p>
        </w:tc>
        <w:tc>
          <w:tcPr>
            <w:tcW w:w="3000" w:type="dxa"/>
            <w:shd w:val="clear" w:color="auto" w:fill="FFFFFF"/>
            <w:tcMar>
              <w:top w:w="70" w:type="dxa"/>
              <w:left w:w="100" w:type="dxa"/>
              <w:bottom w:w="70" w:type="dxa"/>
              <w:right w:w="100" w:type="dxa"/>
            </w:tcMar>
          </w:tcPr>
          <w:p w14:paraId="6106C07F" w14:textId="77777777" w:rsidR="002F7CD0" w:rsidRDefault="00000000">
            <w:pPr>
              <w:spacing w:after="30"/>
            </w:pPr>
            <w:r>
              <w:rPr>
                <w:color w:val="000000"/>
                <w:sz w:val="17"/>
                <w:szCs w:val="17"/>
              </w:rPr>
              <w:t>EGIA within ~3 months per quarterly cycle</w:t>
            </w:r>
          </w:p>
        </w:tc>
        <w:tc>
          <w:tcPr>
            <w:tcW w:w="3360" w:type="dxa"/>
            <w:shd w:val="clear" w:color="auto" w:fill="FFFFFF"/>
            <w:tcMar>
              <w:top w:w="70" w:type="dxa"/>
              <w:left w:w="100" w:type="dxa"/>
              <w:bottom w:w="70" w:type="dxa"/>
              <w:right w:w="100" w:type="dxa"/>
            </w:tcMar>
          </w:tcPr>
          <w:p w14:paraId="5B13AD4A" w14:textId="77777777" w:rsidR="002F7CD0" w:rsidRDefault="00000000">
            <w:pPr>
              <w:spacing w:after="30"/>
            </w:pPr>
            <w:r>
              <w:rPr>
                <w:color w:val="000000"/>
                <w:sz w:val="17"/>
                <w:szCs w:val="17"/>
              </w:rPr>
              <w:t>&gt;11 GW studied across three cycles; sunsetting</w:t>
            </w:r>
          </w:p>
        </w:tc>
      </w:tr>
      <w:tr w:rsidR="002F7CD0" w14:paraId="5FB9F852" w14:textId="77777777">
        <w:tblPrEx>
          <w:tblCellMar>
            <w:top w:w="0" w:type="dxa"/>
            <w:bottom w:w="0" w:type="dxa"/>
          </w:tblCellMar>
        </w:tblPrEx>
        <w:trPr>
          <w:cantSplit/>
        </w:trPr>
        <w:tc>
          <w:tcPr>
            <w:tcW w:w="3000" w:type="dxa"/>
            <w:shd w:val="clear" w:color="auto" w:fill="F2F6FB"/>
            <w:tcMar>
              <w:top w:w="70" w:type="dxa"/>
              <w:left w:w="100" w:type="dxa"/>
              <w:bottom w:w="70" w:type="dxa"/>
              <w:right w:w="100" w:type="dxa"/>
            </w:tcMar>
          </w:tcPr>
          <w:p w14:paraId="1DE2C1A8" w14:textId="77777777" w:rsidR="002F7CD0" w:rsidRDefault="00000000">
            <w:pPr>
              <w:spacing w:after="30"/>
            </w:pPr>
            <w:r>
              <w:rPr>
                <w:b/>
                <w:bCs/>
                <w:color w:val="000000"/>
                <w:sz w:val="17"/>
                <w:szCs w:val="17"/>
              </w:rPr>
              <w:t>MISO LARS (proposed)</w:t>
            </w:r>
          </w:p>
        </w:tc>
        <w:tc>
          <w:tcPr>
            <w:tcW w:w="3000" w:type="dxa"/>
            <w:shd w:val="clear" w:color="auto" w:fill="F2F6FB"/>
            <w:tcMar>
              <w:top w:w="70" w:type="dxa"/>
              <w:left w:w="100" w:type="dxa"/>
              <w:bottom w:w="70" w:type="dxa"/>
              <w:right w:w="100" w:type="dxa"/>
            </w:tcMar>
          </w:tcPr>
          <w:p w14:paraId="1F2C041A" w14:textId="77777777" w:rsidR="002F7CD0" w:rsidRDefault="00000000">
            <w:pPr>
              <w:spacing w:after="30"/>
            </w:pPr>
            <w:r>
              <w:rPr>
                <w:color w:val="000000"/>
                <w:sz w:val="17"/>
                <w:szCs w:val="17"/>
              </w:rPr>
              <w:t>120 days for load + paired generation</w:t>
            </w:r>
          </w:p>
        </w:tc>
        <w:tc>
          <w:tcPr>
            <w:tcW w:w="3360" w:type="dxa"/>
            <w:shd w:val="clear" w:color="auto" w:fill="F2F6FB"/>
            <w:tcMar>
              <w:top w:w="70" w:type="dxa"/>
              <w:left w:w="100" w:type="dxa"/>
              <w:bottom w:w="70" w:type="dxa"/>
              <w:right w:w="100" w:type="dxa"/>
            </w:tcMar>
          </w:tcPr>
          <w:p w14:paraId="76A62A84" w14:textId="77777777" w:rsidR="002F7CD0" w:rsidRDefault="00000000">
            <w:pPr>
              <w:spacing w:after="30"/>
            </w:pPr>
            <w:r>
              <w:rPr>
                <w:color w:val="000000"/>
                <w:sz w:val="17"/>
                <w:szCs w:val="17"/>
              </w:rPr>
              <w:t>Three cycles/yr, max 10 load-generation pairs each</w:t>
            </w:r>
          </w:p>
        </w:tc>
      </w:tr>
      <w:tr w:rsidR="002F7CD0" w14:paraId="1410C7BD" w14:textId="77777777">
        <w:tblPrEx>
          <w:tblCellMar>
            <w:top w:w="0" w:type="dxa"/>
            <w:bottom w:w="0" w:type="dxa"/>
          </w:tblCellMar>
        </w:tblPrEx>
        <w:trPr>
          <w:cantSplit/>
        </w:trPr>
        <w:tc>
          <w:tcPr>
            <w:tcW w:w="3000" w:type="dxa"/>
            <w:shd w:val="clear" w:color="auto" w:fill="FFFFFF"/>
            <w:tcMar>
              <w:top w:w="70" w:type="dxa"/>
              <w:left w:w="100" w:type="dxa"/>
              <w:bottom w:w="70" w:type="dxa"/>
              <w:right w:w="100" w:type="dxa"/>
            </w:tcMar>
          </w:tcPr>
          <w:p w14:paraId="7C78510E" w14:textId="77777777" w:rsidR="002F7CD0" w:rsidRDefault="00000000">
            <w:pPr>
              <w:spacing w:after="30"/>
            </w:pPr>
            <w:r>
              <w:rPr>
                <w:b/>
                <w:bCs/>
                <w:color w:val="000000"/>
                <w:sz w:val="17"/>
                <w:szCs w:val="17"/>
              </w:rPr>
              <w:t>SPP HILL / HILLGA / CHILLS</w:t>
            </w:r>
          </w:p>
        </w:tc>
        <w:tc>
          <w:tcPr>
            <w:tcW w:w="3000" w:type="dxa"/>
            <w:shd w:val="clear" w:color="auto" w:fill="FFFFFF"/>
            <w:tcMar>
              <w:top w:w="70" w:type="dxa"/>
              <w:left w:w="100" w:type="dxa"/>
              <w:bottom w:w="70" w:type="dxa"/>
              <w:right w:w="100" w:type="dxa"/>
            </w:tcMar>
          </w:tcPr>
          <w:p w14:paraId="2ECA7C2D" w14:textId="77777777" w:rsidR="002F7CD0" w:rsidRDefault="00000000">
            <w:pPr>
              <w:spacing w:after="30"/>
            </w:pPr>
            <w:r>
              <w:rPr>
                <w:color w:val="000000"/>
                <w:sz w:val="17"/>
                <w:szCs w:val="17"/>
              </w:rPr>
              <w:t>90 calendar days</w:t>
            </w:r>
          </w:p>
        </w:tc>
        <w:tc>
          <w:tcPr>
            <w:tcW w:w="3360" w:type="dxa"/>
            <w:shd w:val="clear" w:color="auto" w:fill="FFFFFF"/>
            <w:tcMar>
              <w:top w:w="70" w:type="dxa"/>
              <w:left w:w="100" w:type="dxa"/>
              <w:bottom w:w="70" w:type="dxa"/>
              <w:right w:w="100" w:type="dxa"/>
            </w:tcMar>
          </w:tcPr>
          <w:p w14:paraId="290A8804" w14:textId="77777777" w:rsidR="002F7CD0" w:rsidRDefault="00000000">
            <w:pPr>
              <w:spacing w:after="30"/>
            </w:pPr>
            <w:r>
              <w:rPr>
                <w:color w:val="000000"/>
                <w:sz w:val="17"/>
                <w:szCs w:val="17"/>
              </w:rPr>
              <w:t>Clock starts at data validation; CHILLS gives interim non-firm service</w:t>
            </w:r>
          </w:p>
        </w:tc>
      </w:tr>
      <w:tr w:rsidR="002F7CD0" w14:paraId="1F36F09F" w14:textId="77777777">
        <w:tblPrEx>
          <w:tblCellMar>
            <w:top w:w="0" w:type="dxa"/>
            <w:bottom w:w="0" w:type="dxa"/>
          </w:tblCellMar>
        </w:tblPrEx>
        <w:trPr>
          <w:cantSplit/>
        </w:trPr>
        <w:tc>
          <w:tcPr>
            <w:tcW w:w="3000" w:type="dxa"/>
            <w:shd w:val="clear" w:color="auto" w:fill="F2F6FB"/>
            <w:tcMar>
              <w:top w:w="70" w:type="dxa"/>
              <w:left w:w="100" w:type="dxa"/>
              <w:bottom w:w="70" w:type="dxa"/>
              <w:right w:w="100" w:type="dxa"/>
            </w:tcMar>
          </w:tcPr>
          <w:p w14:paraId="62CB5FAC" w14:textId="77777777" w:rsidR="002F7CD0" w:rsidRDefault="00000000">
            <w:pPr>
              <w:spacing w:after="30"/>
            </w:pPr>
            <w:r>
              <w:rPr>
                <w:b/>
                <w:bCs/>
                <w:color w:val="000000"/>
                <w:sz w:val="17"/>
                <w:szCs w:val="17"/>
              </w:rPr>
              <w:t>ERCOT Batch Zero</w:t>
            </w:r>
          </w:p>
        </w:tc>
        <w:tc>
          <w:tcPr>
            <w:tcW w:w="3000" w:type="dxa"/>
            <w:shd w:val="clear" w:color="auto" w:fill="F2F6FB"/>
            <w:tcMar>
              <w:top w:w="70" w:type="dxa"/>
              <w:left w:w="100" w:type="dxa"/>
              <w:bottom w:w="70" w:type="dxa"/>
              <w:right w:w="100" w:type="dxa"/>
            </w:tcMar>
          </w:tcPr>
          <w:p w14:paraId="2F22244C" w14:textId="77777777" w:rsidR="002F7CD0" w:rsidRDefault="00000000">
            <w:pPr>
              <w:spacing w:after="30"/>
            </w:pPr>
            <w:r>
              <w:rPr>
                <w:color w:val="000000"/>
                <w:sz w:val="17"/>
                <w:szCs w:val="17"/>
              </w:rPr>
              <w:t>One-time batch; results were due Apr 2027, now TBD after audit</w:t>
            </w:r>
          </w:p>
        </w:tc>
        <w:tc>
          <w:tcPr>
            <w:tcW w:w="3360" w:type="dxa"/>
            <w:shd w:val="clear" w:color="auto" w:fill="F2F6FB"/>
            <w:tcMar>
              <w:top w:w="70" w:type="dxa"/>
              <w:left w:w="100" w:type="dxa"/>
              <w:bottom w:w="70" w:type="dxa"/>
              <w:right w:w="100" w:type="dxa"/>
            </w:tcMar>
          </w:tcPr>
          <w:p w14:paraId="4BD75724" w14:textId="77777777" w:rsidR="002F7CD0" w:rsidRDefault="00000000">
            <w:pPr>
              <w:spacing w:after="30"/>
            </w:pPr>
            <w:r>
              <w:rPr>
                <w:color w:val="000000"/>
                <w:sz w:val="17"/>
                <w:szCs w:val="17"/>
              </w:rPr>
              <w:t>Batch 1 opens summer 2027; transmission plan fall 2027</w:t>
            </w:r>
          </w:p>
        </w:tc>
      </w:tr>
    </w:tbl>
    <w:p w14:paraId="19B9D6DC" w14:textId="77777777" w:rsidR="002F7CD0" w:rsidRDefault="002F7CD0">
      <w:pPr>
        <w:spacing w:after="120"/>
      </w:pPr>
    </w:p>
    <w:p w14:paraId="09747A43" w14:textId="77777777" w:rsidR="002F7CD0" w:rsidRDefault="00000000">
      <w:pPr>
        <w:spacing w:after="140" w:line="288" w:lineRule="auto"/>
      </w:pPr>
      <w:r>
        <w:t>The pattern is clear: every RTO is converging on 90–120-day study windows for large loads that bring their own supply or accept curtailment. Study speed, however, is not energization speed. The binding constraint is now the synchronization of network upgrades, generation build, and the load’s own ramp schedule — a timeline-compression problem, not a framework-design problem.</w:t>
      </w:r>
    </w:p>
    <w:p w14:paraId="548302A1" w14:textId="77777777" w:rsidR="002F7CD0" w:rsidRDefault="00000000">
      <w:pPr>
        <w:pStyle w:val="Heading1"/>
        <w:pBdr>
          <w:bottom w:val="single" w:sz="6" w:space="4" w:color="2E75B6"/>
        </w:pBdr>
        <w:spacing w:before="320" w:after="140"/>
      </w:pPr>
      <w:r>
        <w:rPr>
          <w:b/>
          <w:bCs/>
          <w:color w:val="1F3864"/>
          <w:sz w:val="30"/>
          <w:szCs w:val="30"/>
        </w:rPr>
        <w:t>Cluster Studies and the Cost of Getting Studied</w:t>
      </w:r>
    </w:p>
    <w:p w14:paraId="4108AD5C" w14:textId="77777777" w:rsidR="002F7CD0" w:rsidRDefault="00000000">
      <w:pPr>
        <w:spacing w:after="140" w:line="288" w:lineRule="auto"/>
      </w:pPr>
      <w:r>
        <w:t>The generator interconnection process already runs on Order 2023-style cluster studies with escalating financial commitments at each decision point. Those same structures are now being adapted for load and load-plus-generation pairs. The figures below are the published tariff amounts for the main pathways.</w:t>
      </w:r>
    </w:p>
    <w:p w14:paraId="04EF7838" w14:textId="77777777" w:rsidR="002F7CD0" w:rsidRDefault="00000000">
      <w:pPr>
        <w:pStyle w:val="Heading2"/>
        <w:spacing w:before="220" w:after="100"/>
      </w:pPr>
      <w:r>
        <w:rPr>
          <w:b/>
          <w:bCs/>
          <w:color w:val="2E75B6"/>
          <w:sz w:val="25"/>
          <w:szCs w:val="25"/>
        </w:rPr>
        <w:t>PJM cycle process (generation, including generation serving co-located load)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700"/>
        <w:gridCol w:w="3060"/>
      </w:tblGrid>
      <w:tr w:rsidR="002F7CD0" w14:paraId="0ECD2858" w14:textId="77777777">
        <w:tblPrEx>
          <w:tblCellMar>
            <w:top w:w="0" w:type="dxa"/>
            <w:bottom w:w="0" w:type="dxa"/>
          </w:tblCellMar>
        </w:tblPrEx>
        <w:trPr>
          <w:tblHeader/>
        </w:trPr>
        <w:tc>
          <w:tcPr>
            <w:tcW w:w="2600" w:type="dxa"/>
            <w:shd w:val="clear" w:color="auto" w:fill="1F3864"/>
            <w:tcMar>
              <w:top w:w="70" w:type="dxa"/>
              <w:left w:w="100" w:type="dxa"/>
              <w:bottom w:w="70" w:type="dxa"/>
              <w:right w:w="100" w:type="dxa"/>
            </w:tcMar>
          </w:tcPr>
          <w:p w14:paraId="71E3AEFE" w14:textId="77777777" w:rsidR="002F7CD0" w:rsidRDefault="00000000">
            <w:pPr>
              <w:spacing w:after="30"/>
            </w:pPr>
            <w:r>
              <w:rPr>
                <w:b/>
                <w:bCs/>
                <w:color w:val="FFFFFF"/>
                <w:sz w:val="18"/>
                <w:szCs w:val="18"/>
              </w:rPr>
              <w:t>Stage</w:t>
            </w:r>
          </w:p>
        </w:tc>
        <w:tc>
          <w:tcPr>
            <w:tcW w:w="3700" w:type="dxa"/>
            <w:shd w:val="clear" w:color="auto" w:fill="1F3864"/>
            <w:tcMar>
              <w:top w:w="70" w:type="dxa"/>
              <w:left w:w="100" w:type="dxa"/>
              <w:bottom w:w="70" w:type="dxa"/>
              <w:right w:w="100" w:type="dxa"/>
            </w:tcMar>
          </w:tcPr>
          <w:p w14:paraId="46BD3E62" w14:textId="77777777" w:rsidR="002F7CD0" w:rsidRDefault="00000000">
            <w:pPr>
              <w:spacing w:after="30"/>
            </w:pPr>
            <w:r>
              <w:rPr>
                <w:b/>
                <w:bCs/>
                <w:color w:val="FFFFFF"/>
                <w:sz w:val="18"/>
                <w:szCs w:val="18"/>
              </w:rPr>
              <w:t>Payment</w:t>
            </w:r>
          </w:p>
        </w:tc>
        <w:tc>
          <w:tcPr>
            <w:tcW w:w="3060" w:type="dxa"/>
            <w:shd w:val="clear" w:color="auto" w:fill="1F3864"/>
            <w:tcMar>
              <w:top w:w="70" w:type="dxa"/>
              <w:left w:w="100" w:type="dxa"/>
              <w:bottom w:w="70" w:type="dxa"/>
              <w:right w:w="100" w:type="dxa"/>
            </w:tcMar>
          </w:tcPr>
          <w:p w14:paraId="650F1608" w14:textId="77777777" w:rsidR="002F7CD0" w:rsidRDefault="00000000">
            <w:pPr>
              <w:spacing w:after="30"/>
            </w:pPr>
            <w:r>
              <w:rPr>
                <w:b/>
                <w:bCs/>
                <w:color w:val="FFFFFF"/>
                <w:sz w:val="18"/>
                <w:szCs w:val="18"/>
              </w:rPr>
              <w:t>Basis</w:t>
            </w:r>
          </w:p>
        </w:tc>
      </w:tr>
      <w:tr w:rsidR="002F7CD0" w14:paraId="0E993C63"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6F917FF9" w14:textId="77777777" w:rsidR="002F7CD0" w:rsidRDefault="00000000">
            <w:pPr>
              <w:spacing w:after="30"/>
            </w:pPr>
            <w:r>
              <w:rPr>
                <w:b/>
                <w:bCs/>
                <w:color w:val="000000"/>
                <w:sz w:val="17"/>
                <w:szCs w:val="17"/>
              </w:rPr>
              <w:t>Application</w:t>
            </w:r>
          </w:p>
        </w:tc>
        <w:tc>
          <w:tcPr>
            <w:tcW w:w="3700" w:type="dxa"/>
            <w:shd w:val="clear" w:color="auto" w:fill="FFFFFF"/>
            <w:tcMar>
              <w:top w:w="70" w:type="dxa"/>
              <w:left w:w="100" w:type="dxa"/>
              <w:bottom w:w="70" w:type="dxa"/>
              <w:right w:w="100" w:type="dxa"/>
            </w:tcMar>
          </w:tcPr>
          <w:p w14:paraId="3BE762A7" w14:textId="77777777" w:rsidR="002F7CD0" w:rsidRDefault="00000000">
            <w:pPr>
              <w:spacing w:after="30"/>
            </w:pPr>
            <w:r>
              <w:rPr>
                <w:color w:val="000000"/>
                <w:sz w:val="17"/>
                <w:szCs w:val="17"/>
              </w:rPr>
              <w:t>Study deposit $75,000–$400,000 (by MW tier); 10% non-refundable</w:t>
            </w:r>
          </w:p>
        </w:tc>
        <w:tc>
          <w:tcPr>
            <w:tcW w:w="3060" w:type="dxa"/>
            <w:shd w:val="clear" w:color="auto" w:fill="FFFFFF"/>
            <w:tcMar>
              <w:top w:w="70" w:type="dxa"/>
              <w:left w:w="100" w:type="dxa"/>
              <w:bottom w:w="70" w:type="dxa"/>
              <w:right w:w="100" w:type="dxa"/>
            </w:tcMar>
          </w:tcPr>
          <w:p w14:paraId="36C0696D" w14:textId="77777777" w:rsidR="002F7CD0" w:rsidRDefault="00000000">
            <w:pPr>
              <w:spacing w:after="30"/>
            </w:pPr>
            <w:r>
              <w:rPr>
                <w:color w:val="000000"/>
                <w:sz w:val="17"/>
                <w:szCs w:val="17"/>
              </w:rPr>
              <w:t>Covers Phase I–III studies; actual costs billed if exceeded</w:t>
            </w:r>
          </w:p>
        </w:tc>
      </w:tr>
      <w:tr w:rsidR="002F7CD0" w14:paraId="32CD40B0" w14:textId="77777777">
        <w:tblPrEx>
          <w:tblCellMar>
            <w:top w:w="0" w:type="dxa"/>
            <w:bottom w:w="0" w:type="dxa"/>
          </w:tblCellMar>
        </w:tblPrEx>
        <w:trPr>
          <w:cantSplit/>
        </w:trPr>
        <w:tc>
          <w:tcPr>
            <w:tcW w:w="2600" w:type="dxa"/>
            <w:shd w:val="clear" w:color="auto" w:fill="F2F6FB"/>
            <w:tcMar>
              <w:top w:w="70" w:type="dxa"/>
              <w:left w:w="100" w:type="dxa"/>
              <w:bottom w:w="70" w:type="dxa"/>
              <w:right w:w="100" w:type="dxa"/>
            </w:tcMar>
          </w:tcPr>
          <w:p w14:paraId="27AE67E0" w14:textId="77777777" w:rsidR="002F7CD0" w:rsidRDefault="00000000">
            <w:pPr>
              <w:spacing w:after="30"/>
            </w:pPr>
            <w:r>
              <w:rPr>
                <w:b/>
                <w:bCs/>
                <w:color w:val="000000"/>
                <w:sz w:val="17"/>
                <w:szCs w:val="17"/>
              </w:rPr>
              <w:t>Application</w:t>
            </w:r>
          </w:p>
        </w:tc>
        <w:tc>
          <w:tcPr>
            <w:tcW w:w="3700" w:type="dxa"/>
            <w:shd w:val="clear" w:color="auto" w:fill="F2F6FB"/>
            <w:tcMar>
              <w:top w:w="70" w:type="dxa"/>
              <w:left w:w="100" w:type="dxa"/>
              <w:bottom w:w="70" w:type="dxa"/>
              <w:right w:w="100" w:type="dxa"/>
            </w:tcMar>
          </w:tcPr>
          <w:p w14:paraId="68D3C1E8" w14:textId="77777777" w:rsidR="002F7CD0" w:rsidRDefault="00000000">
            <w:pPr>
              <w:spacing w:after="30"/>
            </w:pPr>
            <w:r>
              <w:rPr>
                <w:color w:val="000000"/>
                <w:sz w:val="17"/>
                <w:szCs w:val="17"/>
              </w:rPr>
              <w:t>Readiness Deposit 1: $4,000/MW</w:t>
            </w:r>
          </w:p>
        </w:tc>
        <w:tc>
          <w:tcPr>
            <w:tcW w:w="3060" w:type="dxa"/>
            <w:shd w:val="clear" w:color="auto" w:fill="F2F6FB"/>
            <w:tcMar>
              <w:top w:w="70" w:type="dxa"/>
              <w:left w:w="100" w:type="dxa"/>
              <w:bottom w:w="70" w:type="dxa"/>
              <w:right w:w="100" w:type="dxa"/>
            </w:tcMar>
          </w:tcPr>
          <w:p w14:paraId="1EC2D0B4" w14:textId="77777777" w:rsidR="002F7CD0" w:rsidRDefault="00000000">
            <w:pPr>
              <w:spacing w:after="30"/>
            </w:pPr>
            <w:r>
              <w:rPr>
                <w:color w:val="000000"/>
                <w:sz w:val="17"/>
                <w:szCs w:val="17"/>
              </w:rPr>
              <w:t>Due with application</w:t>
            </w:r>
          </w:p>
        </w:tc>
      </w:tr>
      <w:tr w:rsidR="002F7CD0" w14:paraId="5A2B39D5"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07377BBA" w14:textId="77777777" w:rsidR="002F7CD0" w:rsidRDefault="00000000">
            <w:pPr>
              <w:spacing w:after="30"/>
            </w:pPr>
            <w:r>
              <w:rPr>
                <w:b/>
                <w:bCs/>
                <w:color w:val="000000"/>
                <w:sz w:val="17"/>
                <w:szCs w:val="17"/>
              </w:rPr>
              <w:t>Decision Point I (after Phase I)</w:t>
            </w:r>
          </w:p>
        </w:tc>
        <w:tc>
          <w:tcPr>
            <w:tcW w:w="3700" w:type="dxa"/>
            <w:shd w:val="clear" w:color="auto" w:fill="FFFFFF"/>
            <w:tcMar>
              <w:top w:w="70" w:type="dxa"/>
              <w:left w:w="100" w:type="dxa"/>
              <w:bottom w:w="70" w:type="dxa"/>
              <w:right w:w="100" w:type="dxa"/>
            </w:tcMar>
          </w:tcPr>
          <w:p w14:paraId="76925599" w14:textId="77777777" w:rsidR="002F7CD0" w:rsidRDefault="00000000">
            <w:pPr>
              <w:spacing w:after="30"/>
            </w:pPr>
            <w:r>
              <w:rPr>
                <w:color w:val="000000"/>
                <w:sz w:val="17"/>
                <w:szCs w:val="17"/>
              </w:rPr>
              <w:t>Readiness Deposit 2: 10% of allocated network upgrades, less RD1</w:t>
            </w:r>
          </w:p>
        </w:tc>
        <w:tc>
          <w:tcPr>
            <w:tcW w:w="3060" w:type="dxa"/>
            <w:shd w:val="clear" w:color="auto" w:fill="FFFFFF"/>
            <w:tcMar>
              <w:top w:w="70" w:type="dxa"/>
              <w:left w:w="100" w:type="dxa"/>
              <w:bottom w:w="70" w:type="dxa"/>
              <w:right w:w="100" w:type="dxa"/>
            </w:tcMar>
          </w:tcPr>
          <w:p w14:paraId="66EAD646" w14:textId="77777777" w:rsidR="002F7CD0" w:rsidRDefault="00000000">
            <w:pPr>
              <w:spacing w:after="30"/>
            </w:pPr>
            <w:r>
              <w:rPr>
                <w:color w:val="000000"/>
                <w:sz w:val="17"/>
                <w:szCs w:val="17"/>
              </w:rPr>
              <w:t>Refundable in part on withdrawal</w:t>
            </w:r>
          </w:p>
        </w:tc>
      </w:tr>
      <w:tr w:rsidR="002F7CD0" w14:paraId="78C9FB19" w14:textId="77777777">
        <w:tblPrEx>
          <w:tblCellMar>
            <w:top w:w="0" w:type="dxa"/>
            <w:bottom w:w="0" w:type="dxa"/>
          </w:tblCellMar>
        </w:tblPrEx>
        <w:trPr>
          <w:cantSplit/>
        </w:trPr>
        <w:tc>
          <w:tcPr>
            <w:tcW w:w="2600" w:type="dxa"/>
            <w:shd w:val="clear" w:color="auto" w:fill="F2F6FB"/>
            <w:tcMar>
              <w:top w:w="70" w:type="dxa"/>
              <w:left w:w="100" w:type="dxa"/>
              <w:bottom w:w="70" w:type="dxa"/>
              <w:right w:w="100" w:type="dxa"/>
            </w:tcMar>
          </w:tcPr>
          <w:p w14:paraId="47568AA1" w14:textId="77777777" w:rsidR="002F7CD0" w:rsidRDefault="00000000">
            <w:pPr>
              <w:spacing w:after="30"/>
            </w:pPr>
            <w:r>
              <w:rPr>
                <w:b/>
                <w:bCs/>
                <w:color w:val="000000"/>
                <w:sz w:val="17"/>
                <w:szCs w:val="17"/>
              </w:rPr>
              <w:t>Decision Point II (after Phase II)</w:t>
            </w:r>
          </w:p>
        </w:tc>
        <w:tc>
          <w:tcPr>
            <w:tcW w:w="3700" w:type="dxa"/>
            <w:shd w:val="clear" w:color="auto" w:fill="F2F6FB"/>
            <w:tcMar>
              <w:top w:w="70" w:type="dxa"/>
              <w:left w:w="100" w:type="dxa"/>
              <w:bottom w:w="70" w:type="dxa"/>
              <w:right w:w="100" w:type="dxa"/>
            </w:tcMar>
          </w:tcPr>
          <w:p w14:paraId="5E110BB1" w14:textId="77777777" w:rsidR="002F7CD0" w:rsidRDefault="00000000">
            <w:pPr>
              <w:spacing w:after="30"/>
            </w:pPr>
            <w:r>
              <w:rPr>
                <w:color w:val="000000"/>
                <w:sz w:val="17"/>
                <w:szCs w:val="17"/>
              </w:rPr>
              <w:t>Readiness Deposit 3: 20% of allocated network upgrades, less prior deposits</w:t>
            </w:r>
          </w:p>
        </w:tc>
        <w:tc>
          <w:tcPr>
            <w:tcW w:w="3060" w:type="dxa"/>
            <w:shd w:val="clear" w:color="auto" w:fill="F2F6FB"/>
            <w:tcMar>
              <w:top w:w="70" w:type="dxa"/>
              <w:left w:w="100" w:type="dxa"/>
              <w:bottom w:w="70" w:type="dxa"/>
              <w:right w:w="100" w:type="dxa"/>
            </w:tcMar>
          </w:tcPr>
          <w:p w14:paraId="4EFA70E6" w14:textId="77777777" w:rsidR="002F7CD0" w:rsidRDefault="00000000">
            <w:pPr>
              <w:spacing w:after="30"/>
            </w:pPr>
            <w:r>
              <w:rPr>
                <w:color w:val="000000"/>
                <w:sz w:val="17"/>
                <w:szCs w:val="17"/>
              </w:rPr>
              <w:t>At risk from this point</w:t>
            </w:r>
          </w:p>
        </w:tc>
      </w:tr>
      <w:tr w:rsidR="002F7CD0" w14:paraId="0AB81DD1"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77B2DC39" w14:textId="77777777" w:rsidR="002F7CD0" w:rsidRDefault="00000000">
            <w:pPr>
              <w:spacing w:after="30"/>
            </w:pPr>
            <w:r>
              <w:rPr>
                <w:b/>
                <w:bCs/>
                <w:color w:val="000000"/>
                <w:sz w:val="17"/>
                <w:szCs w:val="17"/>
              </w:rPr>
              <w:t>Final agreement</w:t>
            </w:r>
          </w:p>
        </w:tc>
        <w:tc>
          <w:tcPr>
            <w:tcW w:w="3700" w:type="dxa"/>
            <w:shd w:val="clear" w:color="auto" w:fill="FFFFFF"/>
            <w:tcMar>
              <w:top w:w="70" w:type="dxa"/>
              <w:left w:w="100" w:type="dxa"/>
              <w:bottom w:w="70" w:type="dxa"/>
              <w:right w:w="100" w:type="dxa"/>
            </w:tcMar>
          </w:tcPr>
          <w:p w14:paraId="23B77783" w14:textId="77777777" w:rsidR="002F7CD0" w:rsidRDefault="00000000">
            <w:pPr>
              <w:spacing w:after="30"/>
            </w:pPr>
            <w:r>
              <w:rPr>
                <w:color w:val="000000"/>
                <w:sz w:val="17"/>
                <w:szCs w:val="17"/>
              </w:rPr>
              <w:t>Security equal to 100% of allocated network upgrades</w:t>
            </w:r>
          </w:p>
        </w:tc>
        <w:tc>
          <w:tcPr>
            <w:tcW w:w="3060" w:type="dxa"/>
            <w:shd w:val="clear" w:color="auto" w:fill="FFFFFF"/>
            <w:tcMar>
              <w:top w:w="70" w:type="dxa"/>
              <w:left w:w="100" w:type="dxa"/>
              <w:bottom w:w="70" w:type="dxa"/>
              <w:right w:w="100" w:type="dxa"/>
            </w:tcMar>
          </w:tcPr>
          <w:p w14:paraId="5070995B" w14:textId="77777777" w:rsidR="002F7CD0" w:rsidRDefault="00000000">
            <w:pPr>
              <w:spacing w:after="30"/>
            </w:pPr>
            <w:r>
              <w:rPr>
                <w:color w:val="000000"/>
                <w:sz w:val="17"/>
                <w:szCs w:val="17"/>
              </w:rPr>
              <w:t>Posted before construction</w:t>
            </w:r>
          </w:p>
        </w:tc>
      </w:tr>
      <w:tr w:rsidR="002F7CD0" w14:paraId="4D743937" w14:textId="77777777">
        <w:tblPrEx>
          <w:tblCellMar>
            <w:top w:w="0" w:type="dxa"/>
            <w:bottom w:w="0" w:type="dxa"/>
          </w:tblCellMar>
        </w:tblPrEx>
        <w:trPr>
          <w:cantSplit/>
        </w:trPr>
        <w:tc>
          <w:tcPr>
            <w:tcW w:w="2600" w:type="dxa"/>
            <w:shd w:val="clear" w:color="auto" w:fill="F2F6FB"/>
            <w:tcMar>
              <w:top w:w="70" w:type="dxa"/>
              <w:left w:w="100" w:type="dxa"/>
              <w:bottom w:w="70" w:type="dxa"/>
              <w:right w:w="100" w:type="dxa"/>
            </w:tcMar>
          </w:tcPr>
          <w:p w14:paraId="545C81AA" w14:textId="77777777" w:rsidR="002F7CD0" w:rsidRDefault="00000000">
            <w:pPr>
              <w:spacing w:after="30"/>
            </w:pPr>
            <w:r>
              <w:rPr>
                <w:b/>
                <w:bCs/>
                <w:color w:val="000000"/>
                <w:sz w:val="17"/>
                <w:szCs w:val="17"/>
              </w:rPr>
              <w:t>Expedited Interconnection Track</w:t>
            </w:r>
          </w:p>
        </w:tc>
        <w:tc>
          <w:tcPr>
            <w:tcW w:w="3700" w:type="dxa"/>
            <w:shd w:val="clear" w:color="auto" w:fill="F2F6FB"/>
            <w:tcMar>
              <w:top w:w="70" w:type="dxa"/>
              <w:left w:w="100" w:type="dxa"/>
              <w:bottom w:w="70" w:type="dxa"/>
              <w:right w:w="100" w:type="dxa"/>
            </w:tcMar>
          </w:tcPr>
          <w:p w14:paraId="7BE72D12" w14:textId="77777777" w:rsidR="002F7CD0" w:rsidRDefault="00000000">
            <w:pPr>
              <w:spacing w:after="30"/>
            </w:pPr>
            <w:r>
              <w:rPr>
                <w:color w:val="000000"/>
                <w:sz w:val="17"/>
                <w:szCs w:val="17"/>
              </w:rPr>
              <w:t>$500,000 study deposit + $15,000/MW readiness deposit</w:t>
            </w:r>
          </w:p>
        </w:tc>
        <w:tc>
          <w:tcPr>
            <w:tcW w:w="3060" w:type="dxa"/>
            <w:shd w:val="clear" w:color="auto" w:fill="F2F6FB"/>
            <w:tcMar>
              <w:top w:w="70" w:type="dxa"/>
              <w:left w:w="100" w:type="dxa"/>
              <w:bottom w:w="70" w:type="dxa"/>
              <w:right w:w="100" w:type="dxa"/>
            </w:tcMar>
          </w:tcPr>
          <w:p w14:paraId="6EB91554" w14:textId="77777777" w:rsidR="002F7CD0" w:rsidRDefault="00000000">
            <w:pPr>
              <w:spacing w:after="30"/>
            </w:pPr>
            <w:r>
              <w:rPr>
                <w:color w:val="000000"/>
                <w:sz w:val="17"/>
                <w:szCs w:val="17"/>
              </w:rPr>
              <w:t>Limited-duration resource adequacy fast track</w:t>
            </w:r>
          </w:p>
        </w:tc>
      </w:tr>
    </w:tbl>
    <w:p w14:paraId="7EC3DD00" w14:textId="77777777" w:rsidR="002F7CD0" w:rsidRDefault="00000000">
      <w:pPr>
        <w:spacing w:before="60" w:after="160"/>
      </w:pPr>
      <w:r>
        <w:rPr>
          <w:i/>
          <w:iCs/>
          <w:color w:val="595959"/>
          <w:sz w:val="17"/>
          <w:szCs w:val="17"/>
        </w:rPr>
        <w:t>Example from PJM Transition Cycle 1: a 60 MW project allocated ~$22.4 M of Phase I upgrades owed a Readiness Deposit 2 of about $2.0 M at Decision Point I.</w:t>
      </w:r>
    </w:p>
    <w:p w14:paraId="3B024A07" w14:textId="77777777" w:rsidR="002F7CD0" w:rsidRDefault="00000000">
      <w:pPr>
        <w:pStyle w:val="Heading2"/>
        <w:spacing w:before="220" w:after="100"/>
      </w:pPr>
      <w:r>
        <w:rPr>
          <w:b/>
          <w:bCs/>
          <w:color w:val="2E75B6"/>
          <w:sz w:val="25"/>
          <w:szCs w:val="25"/>
        </w:rPr>
        <w:t>MISO Definitive Planning Phase (generation)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700"/>
        <w:gridCol w:w="3060"/>
      </w:tblGrid>
      <w:tr w:rsidR="002F7CD0" w14:paraId="28A7DF9E" w14:textId="77777777">
        <w:tblPrEx>
          <w:tblCellMar>
            <w:top w:w="0" w:type="dxa"/>
            <w:bottom w:w="0" w:type="dxa"/>
          </w:tblCellMar>
        </w:tblPrEx>
        <w:trPr>
          <w:tblHeader/>
        </w:trPr>
        <w:tc>
          <w:tcPr>
            <w:tcW w:w="2600" w:type="dxa"/>
            <w:shd w:val="clear" w:color="auto" w:fill="1F3864"/>
            <w:tcMar>
              <w:top w:w="70" w:type="dxa"/>
              <w:left w:w="100" w:type="dxa"/>
              <w:bottom w:w="70" w:type="dxa"/>
              <w:right w:w="100" w:type="dxa"/>
            </w:tcMar>
          </w:tcPr>
          <w:p w14:paraId="61DEC04A" w14:textId="77777777" w:rsidR="002F7CD0" w:rsidRDefault="00000000">
            <w:pPr>
              <w:spacing w:after="30"/>
            </w:pPr>
            <w:r>
              <w:rPr>
                <w:b/>
                <w:bCs/>
                <w:color w:val="FFFFFF"/>
                <w:sz w:val="18"/>
                <w:szCs w:val="18"/>
              </w:rPr>
              <w:t>Stage</w:t>
            </w:r>
          </w:p>
        </w:tc>
        <w:tc>
          <w:tcPr>
            <w:tcW w:w="3700" w:type="dxa"/>
            <w:shd w:val="clear" w:color="auto" w:fill="1F3864"/>
            <w:tcMar>
              <w:top w:w="70" w:type="dxa"/>
              <w:left w:w="100" w:type="dxa"/>
              <w:bottom w:w="70" w:type="dxa"/>
              <w:right w:w="100" w:type="dxa"/>
            </w:tcMar>
          </w:tcPr>
          <w:p w14:paraId="3983B73E" w14:textId="77777777" w:rsidR="002F7CD0" w:rsidRDefault="00000000">
            <w:pPr>
              <w:spacing w:after="30"/>
            </w:pPr>
            <w:r>
              <w:rPr>
                <w:b/>
                <w:bCs/>
                <w:color w:val="FFFFFF"/>
                <w:sz w:val="18"/>
                <w:szCs w:val="18"/>
              </w:rPr>
              <w:t>Payment</w:t>
            </w:r>
          </w:p>
        </w:tc>
        <w:tc>
          <w:tcPr>
            <w:tcW w:w="3060" w:type="dxa"/>
            <w:shd w:val="clear" w:color="auto" w:fill="1F3864"/>
            <w:tcMar>
              <w:top w:w="70" w:type="dxa"/>
              <w:left w:w="100" w:type="dxa"/>
              <w:bottom w:w="70" w:type="dxa"/>
              <w:right w:w="100" w:type="dxa"/>
            </w:tcMar>
          </w:tcPr>
          <w:p w14:paraId="0D198FA2" w14:textId="77777777" w:rsidR="002F7CD0" w:rsidRDefault="00000000">
            <w:pPr>
              <w:spacing w:after="30"/>
            </w:pPr>
            <w:r>
              <w:rPr>
                <w:b/>
                <w:bCs/>
                <w:color w:val="FFFFFF"/>
                <w:sz w:val="18"/>
                <w:szCs w:val="18"/>
              </w:rPr>
              <w:t>Basis</w:t>
            </w:r>
          </w:p>
        </w:tc>
      </w:tr>
      <w:tr w:rsidR="002F7CD0" w14:paraId="596FE7C0"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4B3A78DB" w14:textId="77777777" w:rsidR="002F7CD0" w:rsidRDefault="00000000">
            <w:pPr>
              <w:spacing w:after="30"/>
            </w:pPr>
            <w:r>
              <w:rPr>
                <w:b/>
                <w:bCs/>
                <w:color w:val="000000"/>
                <w:sz w:val="17"/>
                <w:szCs w:val="17"/>
              </w:rPr>
              <w:t>Application (M1)</w:t>
            </w:r>
          </w:p>
        </w:tc>
        <w:tc>
          <w:tcPr>
            <w:tcW w:w="3700" w:type="dxa"/>
            <w:shd w:val="clear" w:color="auto" w:fill="FFFFFF"/>
            <w:tcMar>
              <w:top w:w="70" w:type="dxa"/>
              <w:left w:w="100" w:type="dxa"/>
              <w:bottom w:w="70" w:type="dxa"/>
              <w:right w:w="100" w:type="dxa"/>
            </w:tcMar>
          </w:tcPr>
          <w:p w14:paraId="1D3B35D7" w14:textId="77777777" w:rsidR="002F7CD0" w:rsidRDefault="00000000">
            <w:pPr>
              <w:spacing w:after="30"/>
            </w:pPr>
            <w:r>
              <w:rPr>
                <w:color w:val="000000"/>
                <w:sz w:val="17"/>
                <w:szCs w:val="17"/>
              </w:rPr>
              <w:t>D1 fee ~$7,600 + D2 study deposit ~$50,000–$640,000</w:t>
            </w:r>
          </w:p>
        </w:tc>
        <w:tc>
          <w:tcPr>
            <w:tcW w:w="3060" w:type="dxa"/>
            <w:shd w:val="clear" w:color="auto" w:fill="FFFFFF"/>
            <w:tcMar>
              <w:top w:w="70" w:type="dxa"/>
              <w:left w:w="100" w:type="dxa"/>
              <w:bottom w:w="70" w:type="dxa"/>
              <w:right w:w="100" w:type="dxa"/>
            </w:tcMar>
          </w:tcPr>
          <w:p w14:paraId="038D2923" w14:textId="77777777" w:rsidR="002F7CD0" w:rsidRDefault="00000000">
            <w:pPr>
              <w:spacing w:after="30"/>
            </w:pPr>
            <w:r>
              <w:rPr>
                <w:color w:val="000000"/>
                <w:sz w:val="17"/>
                <w:szCs w:val="17"/>
              </w:rPr>
              <w:t>D2 funds the three DPP impact studies and facilities study</w:t>
            </w:r>
          </w:p>
        </w:tc>
      </w:tr>
      <w:tr w:rsidR="002F7CD0" w14:paraId="73B1A13F" w14:textId="77777777">
        <w:tblPrEx>
          <w:tblCellMar>
            <w:top w:w="0" w:type="dxa"/>
            <w:bottom w:w="0" w:type="dxa"/>
          </w:tblCellMar>
        </w:tblPrEx>
        <w:trPr>
          <w:cantSplit/>
        </w:trPr>
        <w:tc>
          <w:tcPr>
            <w:tcW w:w="2600" w:type="dxa"/>
            <w:shd w:val="clear" w:color="auto" w:fill="F2F6FB"/>
            <w:tcMar>
              <w:top w:w="70" w:type="dxa"/>
              <w:left w:w="100" w:type="dxa"/>
              <w:bottom w:w="70" w:type="dxa"/>
              <w:right w:w="100" w:type="dxa"/>
            </w:tcMar>
          </w:tcPr>
          <w:p w14:paraId="351A87E5" w14:textId="77777777" w:rsidR="002F7CD0" w:rsidRDefault="00000000">
            <w:pPr>
              <w:spacing w:after="30"/>
            </w:pPr>
            <w:r>
              <w:rPr>
                <w:b/>
                <w:bCs/>
                <w:color w:val="000000"/>
                <w:sz w:val="17"/>
                <w:szCs w:val="17"/>
              </w:rPr>
              <w:t>DPP entry (M2)</w:t>
            </w:r>
          </w:p>
        </w:tc>
        <w:tc>
          <w:tcPr>
            <w:tcW w:w="3700" w:type="dxa"/>
            <w:shd w:val="clear" w:color="auto" w:fill="F2F6FB"/>
            <w:tcMar>
              <w:top w:w="70" w:type="dxa"/>
              <w:left w:w="100" w:type="dxa"/>
              <w:bottom w:w="70" w:type="dxa"/>
              <w:right w:w="100" w:type="dxa"/>
            </w:tcMar>
          </w:tcPr>
          <w:p w14:paraId="55DC192F" w14:textId="77777777" w:rsidR="002F7CD0" w:rsidRDefault="00000000">
            <w:pPr>
              <w:spacing w:after="30"/>
            </w:pPr>
            <w:r>
              <w:rPr>
                <w:color w:val="000000"/>
                <w:sz w:val="17"/>
                <w:szCs w:val="17"/>
              </w:rPr>
              <w:t>$8,000/MW</w:t>
            </w:r>
          </w:p>
        </w:tc>
        <w:tc>
          <w:tcPr>
            <w:tcW w:w="3060" w:type="dxa"/>
            <w:shd w:val="clear" w:color="auto" w:fill="F2F6FB"/>
            <w:tcMar>
              <w:top w:w="70" w:type="dxa"/>
              <w:left w:w="100" w:type="dxa"/>
              <w:bottom w:w="70" w:type="dxa"/>
              <w:right w:w="100" w:type="dxa"/>
            </w:tcMar>
          </w:tcPr>
          <w:p w14:paraId="77BEF45E" w14:textId="77777777" w:rsidR="002F7CD0" w:rsidRDefault="00000000">
            <w:pPr>
              <w:spacing w:after="30"/>
            </w:pPr>
            <w:r>
              <w:rPr>
                <w:color w:val="000000"/>
                <w:sz w:val="17"/>
                <w:szCs w:val="17"/>
              </w:rPr>
              <w:t>Cash or irrevocable letter of credit</w:t>
            </w:r>
          </w:p>
        </w:tc>
      </w:tr>
      <w:tr w:rsidR="002F7CD0" w14:paraId="407448EA"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0083EBB2" w14:textId="77777777" w:rsidR="002F7CD0" w:rsidRDefault="00000000">
            <w:pPr>
              <w:spacing w:after="30"/>
            </w:pPr>
            <w:r>
              <w:rPr>
                <w:b/>
                <w:bCs/>
                <w:color w:val="000000"/>
                <w:sz w:val="17"/>
                <w:szCs w:val="17"/>
              </w:rPr>
              <w:t>DPP Phase II (M3)</w:t>
            </w:r>
          </w:p>
        </w:tc>
        <w:tc>
          <w:tcPr>
            <w:tcW w:w="3700" w:type="dxa"/>
            <w:shd w:val="clear" w:color="auto" w:fill="FFFFFF"/>
            <w:tcMar>
              <w:top w:w="70" w:type="dxa"/>
              <w:left w:w="100" w:type="dxa"/>
              <w:bottom w:w="70" w:type="dxa"/>
              <w:right w:w="100" w:type="dxa"/>
            </w:tcMar>
          </w:tcPr>
          <w:p w14:paraId="5FF5BE3D" w14:textId="77777777" w:rsidR="002F7CD0" w:rsidRDefault="00000000">
            <w:pPr>
              <w:spacing w:after="30"/>
            </w:pPr>
            <w:r>
              <w:rPr>
                <w:color w:val="000000"/>
                <w:sz w:val="17"/>
                <w:szCs w:val="17"/>
              </w:rPr>
              <w:t>Greater of 20% of network upgrades − M2, or $1,000/MW</w:t>
            </w:r>
          </w:p>
        </w:tc>
        <w:tc>
          <w:tcPr>
            <w:tcW w:w="3060" w:type="dxa"/>
            <w:shd w:val="clear" w:color="auto" w:fill="FFFFFF"/>
            <w:tcMar>
              <w:top w:w="70" w:type="dxa"/>
              <w:left w:w="100" w:type="dxa"/>
              <w:bottom w:w="70" w:type="dxa"/>
              <w:right w:w="100" w:type="dxa"/>
            </w:tcMar>
          </w:tcPr>
          <w:p w14:paraId="71901B4D" w14:textId="77777777" w:rsidR="002F7CD0" w:rsidRDefault="002F7CD0">
            <w:pPr>
              <w:spacing w:after="30"/>
            </w:pPr>
          </w:p>
        </w:tc>
      </w:tr>
      <w:tr w:rsidR="002F7CD0" w14:paraId="6B9448C4" w14:textId="77777777">
        <w:tblPrEx>
          <w:tblCellMar>
            <w:top w:w="0" w:type="dxa"/>
            <w:bottom w:w="0" w:type="dxa"/>
          </w:tblCellMar>
        </w:tblPrEx>
        <w:trPr>
          <w:cantSplit/>
        </w:trPr>
        <w:tc>
          <w:tcPr>
            <w:tcW w:w="2600" w:type="dxa"/>
            <w:shd w:val="clear" w:color="auto" w:fill="F2F6FB"/>
            <w:tcMar>
              <w:top w:w="70" w:type="dxa"/>
              <w:left w:w="100" w:type="dxa"/>
              <w:bottom w:w="70" w:type="dxa"/>
              <w:right w:w="100" w:type="dxa"/>
            </w:tcMar>
          </w:tcPr>
          <w:p w14:paraId="481E213C" w14:textId="77777777" w:rsidR="002F7CD0" w:rsidRDefault="00000000">
            <w:pPr>
              <w:spacing w:after="30"/>
            </w:pPr>
            <w:r>
              <w:rPr>
                <w:b/>
                <w:bCs/>
                <w:color w:val="000000"/>
                <w:sz w:val="17"/>
                <w:szCs w:val="17"/>
              </w:rPr>
              <w:t>DPP Phase III (M4)</w:t>
            </w:r>
          </w:p>
        </w:tc>
        <w:tc>
          <w:tcPr>
            <w:tcW w:w="3700" w:type="dxa"/>
            <w:shd w:val="clear" w:color="auto" w:fill="F2F6FB"/>
            <w:tcMar>
              <w:top w:w="70" w:type="dxa"/>
              <w:left w:w="100" w:type="dxa"/>
              <w:bottom w:w="70" w:type="dxa"/>
              <w:right w:w="100" w:type="dxa"/>
            </w:tcMar>
          </w:tcPr>
          <w:p w14:paraId="46EDC7AC" w14:textId="77777777" w:rsidR="002F7CD0" w:rsidRDefault="00000000">
            <w:pPr>
              <w:spacing w:after="30"/>
            </w:pPr>
            <w:r>
              <w:rPr>
                <w:color w:val="000000"/>
                <w:sz w:val="17"/>
                <w:szCs w:val="17"/>
              </w:rPr>
              <w:t>30% of network upgrades − M2 − M3</w:t>
            </w:r>
          </w:p>
        </w:tc>
        <w:tc>
          <w:tcPr>
            <w:tcW w:w="3060" w:type="dxa"/>
            <w:shd w:val="clear" w:color="auto" w:fill="F2F6FB"/>
            <w:tcMar>
              <w:top w:w="70" w:type="dxa"/>
              <w:left w:w="100" w:type="dxa"/>
              <w:bottom w:w="70" w:type="dxa"/>
              <w:right w:w="100" w:type="dxa"/>
            </w:tcMar>
          </w:tcPr>
          <w:p w14:paraId="2B11F943" w14:textId="77777777" w:rsidR="002F7CD0" w:rsidRDefault="00000000">
            <w:pPr>
              <w:spacing w:after="30"/>
            </w:pPr>
            <w:r>
              <w:rPr>
                <w:color w:val="000000"/>
                <w:sz w:val="17"/>
                <w:szCs w:val="17"/>
              </w:rPr>
              <w:t>Withdrawal penalties rise toward 100% of M2</w:t>
            </w:r>
          </w:p>
        </w:tc>
      </w:tr>
      <w:tr w:rsidR="002F7CD0" w14:paraId="73C0CB7B"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32B887B5" w14:textId="77777777" w:rsidR="002F7CD0" w:rsidRDefault="00000000">
            <w:pPr>
              <w:spacing w:after="30"/>
            </w:pPr>
            <w:r>
              <w:rPr>
                <w:b/>
                <w:bCs/>
                <w:color w:val="000000"/>
                <w:sz w:val="17"/>
                <w:szCs w:val="17"/>
              </w:rPr>
              <w:t>LARS (proposed, load + paired gen)</w:t>
            </w:r>
          </w:p>
        </w:tc>
        <w:tc>
          <w:tcPr>
            <w:tcW w:w="3700" w:type="dxa"/>
            <w:shd w:val="clear" w:color="auto" w:fill="FFFFFF"/>
            <w:tcMar>
              <w:top w:w="70" w:type="dxa"/>
              <w:left w:w="100" w:type="dxa"/>
              <w:bottom w:w="70" w:type="dxa"/>
              <w:right w:w="100" w:type="dxa"/>
            </w:tcMar>
          </w:tcPr>
          <w:p w14:paraId="6C3AF202" w14:textId="77777777" w:rsidR="002F7CD0" w:rsidRDefault="00000000">
            <w:pPr>
              <w:spacing w:after="30"/>
            </w:pPr>
            <w:r>
              <w:rPr>
                <w:color w:val="000000"/>
                <w:sz w:val="17"/>
                <w:szCs w:val="17"/>
              </w:rPr>
              <w:t>$30,000/MW, refundable until agreement executed (~$15.7 M for 500 MW)</w:t>
            </w:r>
          </w:p>
        </w:tc>
        <w:tc>
          <w:tcPr>
            <w:tcW w:w="3060" w:type="dxa"/>
            <w:shd w:val="clear" w:color="auto" w:fill="FFFFFF"/>
            <w:tcMar>
              <w:top w:w="70" w:type="dxa"/>
              <w:left w:w="100" w:type="dxa"/>
              <w:bottom w:w="70" w:type="dxa"/>
              <w:right w:w="100" w:type="dxa"/>
            </w:tcMar>
          </w:tcPr>
          <w:p w14:paraId="2C632CF7" w14:textId="77777777" w:rsidR="002F7CD0" w:rsidRDefault="00000000">
            <w:pPr>
              <w:spacing w:after="30"/>
            </w:pPr>
            <w:r>
              <w:rPr>
                <w:color w:val="000000"/>
                <w:sz w:val="17"/>
                <w:szCs w:val="17"/>
              </w:rPr>
              <w:t>About 3.6× the DPP entry cost</w:t>
            </w:r>
          </w:p>
        </w:tc>
      </w:tr>
    </w:tbl>
    <w:p w14:paraId="464B2006" w14:textId="77777777" w:rsidR="002F7CD0" w:rsidRDefault="00000000">
      <w:pPr>
        <w:pStyle w:val="Heading2"/>
        <w:spacing w:before="220" w:after="100"/>
      </w:pPr>
      <w:r>
        <w:rPr>
          <w:b/>
          <w:bCs/>
          <w:color w:val="2E75B6"/>
          <w:sz w:val="25"/>
          <w:szCs w:val="25"/>
        </w:rPr>
        <w:t>SPP HILL</w:t>
      </w:r>
    </w:p>
    <w:p w14:paraId="4B186736" w14:textId="77777777" w:rsidR="002F7CD0" w:rsidRDefault="00000000">
      <w:pPr>
        <w:spacing w:after="140" w:line="288" w:lineRule="auto"/>
      </w:pPr>
      <w:r>
        <w:t>SPP requires a study deposit with a validated data package; the 90-day HILL Delivery Point Study runs alongside the host transmission owner’s load connection study and affected-system screening (thermal, steady-state voltage, short circuit and RMS dynamics, including HILL ride-through). Results remain valid for one year.</w:t>
      </w:r>
    </w:p>
    <w:p w14:paraId="023C6514" w14:textId="77777777" w:rsidR="002F7CD0" w:rsidRDefault="00000000">
      <w:pPr>
        <w:pStyle w:val="Heading2"/>
        <w:spacing w:before="220" w:after="100"/>
      </w:pPr>
      <w:r>
        <w:rPr>
          <w:b/>
          <w:bCs/>
          <w:color w:val="2E75B6"/>
          <w:sz w:val="25"/>
          <w:szCs w:val="25"/>
        </w:rPr>
        <w:t>ERCOT (large loads ≥75 MW)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700"/>
        <w:gridCol w:w="3060"/>
      </w:tblGrid>
      <w:tr w:rsidR="002F7CD0" w14:paraId="7BA21518" w14:textId="77777777">
        <w:tblPrEx>
          <w:tblCellMar>
            <w:top w:w="0" w:type="dxa"/>
            <w:bottom w:w="0" w:type="dxa"/>
          </w:tblCellMar>
        </w:tblPrEx>
        <w:trPr>
          <w:tblHeader/>
        </w:trPr>
        <w:tc>
          <w:tcPr>
            <w:tcW w:w="2600" w:type="dxa"/>
            <w:shd w:val="clear" w:color="auto" w:fill="1F3864"/>
            <w:tcMar>
              <w:top w:w="70" w:type="dxa"/>
              <w:left w:w="100" w:type="dxa"/>
              <w:bottom w:w="70" w:type="dxa"/>
              <w:right w:w="100" w:type="dxa"/>
            </w:tcMar>
          </w:tcPr>
          <w:p w14:paraId="61FE574D" w14:textId="77777777" w:rsidR="002F7CD0" w:rsidRDefault="00000000">
            <w:pPr>
              <w:spacing w:after="30"/>
            </w:pPr>
            <w:r>
              <w:rPr>
                <w:b/>
                <w:bCs/>
                <w:color w:val="FFFFFF"/>
                <w:sz w:val="18"/>
                <w:szCs w:val="18"/>
              </w:rPr>
              <w:t>Stage</w:t>
            </w:r>
          </w:p>
        </w:tc>
        <w:tc>
          <w:tcPr>
            <w:tcW w:w="3700" w:type="dxa"/>
            <w:shd w:val="clear" w:color="auto" w:fill="1F3864"/>
            <w:tcMar>
              <w:top w:w="70" w:type="dxa"/>
              <w:left w:w="100" w:type="dxa"/>
              <w:bottom w:w="70" w:type="dxa"/>
              <w:right w:w="100" w:type="dxa"/>
            </w:tcMar>
          </w:tcPr>
          <w:p w14:paraId="7568172A" w14:textId="77777777" w:rsidR="002F7CD0" w:rsidRDefault="00000000">
            <w:pPr>
              <w:spacing w:after="30"/>
            </w:pPr>
            <w:r>
              <w:rPr>
                <w:b/>
                <w:bCs/>
                <w:color w:val="FFFFFF"/>
                <w:sz w:val="18"/>
                <w:szCs w:val="18"/>
              </w:rPr>
              <w:t>Payment</w:t>
            </w:r>
          </w:p>
        </w:tc>
        <w:tc>
          <w:tcPr>
            <w:tcW w:w="3060" w:type="dxa"/>
            <w:shd w:val="clear" w:color="auto" w:fill="1F3864"/>
            <w:tcMar>
              <w:top w:w="70" w:type="dxa"/>
              <w:left w:w="100" w:type="dxa"/>
              <w:bottom w:w="70" w:type="dxa"/>
              <w:right w:w="100" w:type="dxa"/>
            </w:tcMar>
          </w:tcPr>
          <w:p w14:paraId="354D9035" w14:textId="77777777" w:rsidR="002F7CD0" w:rsidRDefault="00000000">
            <w:pPr>
              <w:spacing w:after="30"/>
            </w:pPr>
            <w:r>
              <w:rPr>
                <w:b/>
                <w:bCs/>
                <w:color w:val="FFFFFF"/>
                <w:sz w:val="18"/>
                <w:szCs w:val="18"/>
              </w:rPr>
              <w:t>Basis</w:t>
            </w:r>
          </w:p>
        </w:tc>
      </w:tr>
      <w:tr w:rsidR="002F7CD0" w14:paraId="41DC9B8E"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141043BD" w14:textId="77777777" w:rsidR="002F7CD0" w:rsidRDefault="00000000">
            <w:pPr>
              <w:spacing w:after="30"/>
            </w:pPr>
            <w:r>
              <w:rPr>
                <w:b/>
                <w:bCs/>
                <w:color w:val="000000"/>
                <w:sz w:val="17"/>
                <w:szCs w:val="17"/>
              </w:rPr>
              <w:t>Application / screening</w:t>
            </w:r>
          </w:p>
        </w:tc>
        <w:tc>
          <w:tcPr>
            <w:tcW w:w="3700" w:type="dxa"/>
            <w:shd w:val="clear" w:color="auto" w:fill="FFFFFF"/>
            <w:tcMar>
              <w:top w:w="70" w:type="dxa"/>
              <w:left w:w="100" w:type="dxa"/>
              <w:bottom w:w="70" w:type="dxa"/>
              <w:right w:w="100" w:type="dxa"/>
            </w:tcMar>
          </w:tcPr>
          <w:p w14:paraId="4F03739D" w14:textId="77777777" w:rsidR="002F7CD0" w:rsidRDefault="00000000">
            <w:pPr>
              <w:spacing w:after="30"/>
            </w:pPr>
            <w:r>
              <w:rPr>
                <w:color w:val="000000"/>
                <w:sz w:val="17"/>
                <w:szCs w:val="17"/>
              </w:rPr>
              <w:t>$100,000 flat study fee plus size-tiered charges</w:t>
            </w:r>
          </w:p>
        </w:tc>
        <w:tc>
          <w:tcPr>
            <w:tcW w:w="3060" w:type="dxa"/>
            <w:shd w:val="clear" w:color="auto" w:fill="FFFFFF"/>
            <w:tcMar>
              <w:top w:w="70" w:type="dxa"/>
              <w:left w:w="100" w:type="dxa"/>
              <w:bottom w:w="70" w:type="dxa"/>
              <w:right w:w="100" w:type="dxa"/>
            </w:tcMar>
          </w:tcPr>
          <w:p w14:paraId="52773297" w14:textId="77777777" w:rsidR="002F7CD0" w:rsidRDefault="00000000">
            <w:pPr>
              <w:spacing w:after="30"/>
            </w:pPr>
            <w:r>
              <w:rPr>
                <w:color w:val="000000"/>
                <w:sz w:val="17"/>
                <w:szCs w:val="17"/>
              </w:rPr>
              <w:t>Site control and permitting progress required</w:t>
            </w:r>
          </w:p>
        </w:tc>
      </w:tr>
      <w:tr w:rsidR="002F7CD0" w14:paraId="2253BF01" w14:textId="77777777">
        <w:tblPrEx>
          <w:tblCellMar>
            <w:top w:w="0" w:type="dxa"/>
            <w:bottom w:w="0" w:type="dxa"/>
          </w:tblCellMar>
        </w:tblPrEx>
        <w:trPr>
          <w:cantSplit/>
        </w:trPr>
        <w:tc>
          <w:tcPr>
            <w:tcW w:w="2600" w:type="dxa"/>
            <w:shd w:val="clear" w:color="auto" w:fill="F2F6FB"/>
            <w:tcMar>
              <w:top w:w="70" w:type="dxa"/>
              <w:left w:w="100" w:type="dxa"/>
              <w:bottom w:w="70" w:type="dxa"/>
              <w:right w:w="100" w:type="dxa"/>
            </w:tcMar>
          </w:tcPr>
          <w:p w14:paraId="4748621D" w14:textId="77777777" w:rsidR="002F7CD0" w:rsidRDefault="00000000">
            <w:pPr>
              <w:spacing w:after="30"/>
            </w:pPr>
            <w:r>
              <w:rPr>
                <w:b/>
                <w:bCs/>
                <w:color w:val="000000"/>
                <w:sz w:val="17"/>
                <w:szCs w:val="17"/>
              </w:rPr>
              <w:t>Intermediate agreement</w:t>
            </w:r>
          </w:p>
        </w:tc>
        <w:tc>
          <w:tcPr>
            <w:tcW w:w="3700" w:type="dxa"/>
            <w:shd w:val="clear" w:color="auto" w:fill="F2F6FB"/>
            <w:tcMar>
              <w:top w:w="70" w:type="dxa"/>
              <w:left w:w="100" w:type="dxa"/>
              <w:bottom w:w="70" w:type="dxa"/>
              <w:right w:w="100" w:type="dxa"/>
            </w:tcMar>
          </w:tcPr>
          <w:p w14:paraId="3EE8CFF9" w14:textId="77777777" w:rsidR="002F7CD0" w:rsidRDefault="00000000">
            <w:pPr>
              <w:spacing w:after="30"/>
            </w:pPr>
            <w:r>
              <w:rPr>
                <w:color w:val="000000"/>
                <w:sz w:val="17"/>
                <w:szCs w:val="17"/>
              </w:rPr>
              <w:t>Security of $50,000 per MW of requested capacity</w:t>
            </w:r>
          </w:p>
        </w:tc>
        <w:tc>
          <w:tcPr>
            <w:tcW w:w="3060" w:type="dxa"/>
            <w:shd w:val="clear" w:color="auto" w:fill="F2F6FB"/>
            <w:tcMar>
              <w:top w:w="70" w:type="dxa"/>
              <w:left w:w="100" w:type="dxa"/>
              <w:bottom w:w="70" w:type="dxa"/>
              <w:right w:w="100" w:type="dxa"/>
            </w:tcMar>
          </w:tcPr>
          <w:p w14:paraId="047F4A58" w14:textId="77777777" w:rsidR="002F7CD0" w:rsidRDefault="00000000">
            <w:pPr>
              <w:spacing w:after="30"/>
            </w:pPr>
            <w:r>
              <w:rPr>
                <w:color w:val="000000"/>
                <w:sz w:val="17"/>
                <w:szCs w:val="17"/>
              </w:rPr>
              <w:t>Based on gross contracted peak, not net of co-located generation</w:t>
            </w:r>
          </w:p>
        </w:tc>
      </w:tr>
      <w:tr w:rsidR="002F7CD0" w14:paraId="38611C0A" w14:textId="77777777">
        <w:tblPrEx>
          <w:tblCellMar>
            <w:top w:w="0" w:type="dxa"/>
            <w:bottom w:w="0" w:type="dxa"/>
          </w:tblCellMar>
        </w:tblPrEx>
        <w:trPr>
          <w:cantSplit/>
        </w:trPr>
        <w:tc>
          <w:tcPr>
            <w:tcW w:w="2600" w:type="dxa"/>
            <w:shd w:val="clear" w:color="auto" w:fill="FFFFFF"/>
            <w:tcMar>
              <w:top w:w="70" w:type="dxa"/>
              <w:left w:w="100" w:type="dxa"/>
              <w:bottom w:w="70" w:type="dxa"/>
              <w:right w:w="100" w:type="dxa"/>
            </w:tcMar>
          </w:tcPr>
          <w:p w14:paraId="01D34336" w14:textId="77777777" w:rsidR="002F7CD0" w:rsidRDefault="00000000">
            <w:pPr>
              <w:spacing w:after="30"/>
            </w:pPr>
            <w:r>
              <w:rPr>
                <w:b/>
                <w:bCs/>
                <w:color w:val="000000"/>
                <w:sz w:val="17"/>
                <w:szCs w:val="17"/>
              </w:rPr>
              <w:t>Final interconnection agreement</w:t>
            </w:r>
          </w:p>
        </w:tc>
        <w:tc>
          <w:tcPr>
            <w:tcW w:w="3700" w:type="dxa"/>
            <w:shd w:val="clear" w:color="auto" w:fill="FFFFFF"/>
            <w:tcMar>
              <w:top w:w="70" w:type="dxa"/>
              <w:left w:w="100" w:type="dxa"/>
              <w:bottom w:w="70" w:type="dxa"/>
              <w:right w:w="100" w:type="dxa"/>
            </w:tcMar>
          </w:tcPr>
          <w:p w14:paraId="20C62AC9" w14:textId="77777777" w:rsidR="002F7CD0" w:rsidRDefault="00000000">
            <w:pPr>
              <w:spacing w:after="30"/>
            </w:pPr>
            <w:r>
              <w:rPr>
                <w:color w:val="000000"/>
                <w:sz w:val="17"/>
                <w:szCs w:val="17"/>
              </w:rPr>
              <w:t>Greater of $50,000/MW or allocated transmission upgrade cost</w:t>
            </w:r>
          </w:p>
        </w:tc>
        <w:tc>
          <w:tcPr>
            <w:tcW w:w="3060" w:type="dxa"/>
            <w:shd w:val="clear" w:color="auto" w:fill="FFFFFF"/>
            <w:tcMar>
              <w:top w:w="70" w:type="dxa"/>
              <w:left w:w="100" w:type="dxa"/>
              <w:bottom w:w="70" w:type="dxa"/>
              <w:right w:w="100" w:type="dxa"/>
            </w:tcMar>
          </w:tcPr>
          <w:p w14:paraId="6D643564" w14:textId="77777777" w:rsidR="002F7CD0" w:rsidRDefault="00000000">
            <w:pPr>
              <w:spacing w:after="30"/>
            </w:pPr>
            <w:r>
              <w:rPr>
                <w:color w:val="000000"/>
                <w:sz w:val="17"/>
                <w:szCs w:val="17"/>
              </w:rPr>
              <w:t>Released in 20% steps as load energizes and meets billing-demand milestones</w:t>
            </w:r>
          </w:p>
        </w:tc>
      </w:tr>
    </w:tbl>
    <w:p w14:paraId="007D75E4" w14:textId="77777777" w:rsidR="002F7CD0" w:rsidRDefault="002F7CD0">
      <w:pPr>
        <w:spacing w:after="120"/>
      </w:pPr>
    </w:p>
    <w:p w14:paraId="68205F87" w14:textId="77777777" w:rsidR="002F7CD0" w:rsidRDefault="00000000">
      <w:pPr>
        <w:spacing w:after="140" w:line="288" w:lineRule="auto"/>
      </w:pPr>
      <w:r>
        <w:t>The direction of travel is unmistakable: the faster the lane, the higher the entry ticket. MISO’s proposed LARS price of $30,000/MW is almost four times its standard queue entry, and PJM’s expedited track is nearly four times its standard readiness deposit. Speed is being sold, and the currency is capital at risk.</w:t>
      </w:r>
    </w:p>
    <w:p w14:paraId="3CFDA49F" w14:textId="77777777" w:rsidR="002F7CD0" w:rsidRDefault="00000000">
      <w:pPr>
        <w:pStyle w:val="Heading1"/>
        <w:pBdr>
          <w:bottom w:val="single" w:sz="6" w:space="4" w:color="2E75B6"/>
        </w:pBdr>
        <w:spacing w:before="320" w:after="140"/>
      </w:pPr>
      <w:r>
        <w:rPr>
          <w:b/>
          <w:bCs/>
          <w:color w:val="1F3864"/>
          <w:sz w:val="30"/>
          <w:szCs w:val="30"/>
        </w:rPr>
        <w:t>Co-Located Generation and Bilateral Power Supply</w:t>
      </w:r>
    </w:p>
    <w:p w14:paraId="69A14040" w14:textId="77777777" w:rsidR="002F7CD0" w:rsidRDefault="00000000">
      <w:pPr>
        <w:spacing w:after="140" w:line="288" w:lineRule="auto"/>
      </w:pPr>
      <w:r>
        <w:t>“Bring your own power” has moved from a developer strategy to a regulatory expectation — and in PJM, effectively a condition of reliable service.</w:t>
      </w:r>
    </w:p>
    <w:p w14:paraId="6A2AC4F1" w14:textId="77777777" w:rsidR="002F7CD0" w:rsidRDefault="00000000">
      <w:pPr>
        <w:pStyle w:val="ListParagraph"/>
        <w:numPr>
          <w:ilvl w:val="0"/>
          <w:numId w:val="2"/>
        </w:numPr>
        <w:spacing w:after="90" w:line="276" w:lineRule="auto"/>
      </w:pPr>
      <w:r>
        <w:rPr>
          <w:b/>
          <w:bCs/>
        </w:rPr>
        <w:t xml:space="preserve">PJM — bring your own capacity or be curtailed first: </w:t>
      </w:r>
      <w:r>
        <w:t xml:space="preserve">After none of 11 stakeholder proposals reached the required two-thirds support, PJM’s Board decided on July 27, 2026. New large loads (≥50 MW) energizing after June 1, </w:t>
      </w:r>
      <w:proofErr w:type="gramStart"/>
      <w:r>
        <w:t>2027</w:t>
      </w:r>
      <w:proofErr w:type="gramEnd"/>
      <w:r>
        <w:t xml:space="preserve"> without new qualifying capacity would take Interim Resource Adequacy Service, under which their unsupported demand is curtailed ahead of pre-emergency load management (with compensation for reductions). From the 2029/30 auction, uncovered new large load would be excluded from the capacity market, and a mandatory Large Load Registry would be created. FERC comments closed in September; PJM requested an October 12, </w:t>
      </w:r>
      <w:proofErr w:type="gramStart"/>
      <w:r>
        <w:t>2026</w:t>
      </w:r>
      <w:proofErr w:type="gramEnd"/>
      <w:r>
        <w:t xml:space="preserve"> effective date.</w:t>
      </w:r>
    </w:p>
    <w:p w14:paraId="05D24EC3" w14:textId="77777777" w:rsidR="002F7CD0" w:rsidRDefault="00000000">
      <w:pPr>
        <w:pStyle w:val="ListParagraph"/>
        <w:numPr>
          <w:ilvl w:val="0"/>
          <w:numId w:val="2"/>
        </w:numPr>
        <w:spacing w:after="90" w:line="276" w:lineRule="auto"/>
      </w:pPr>
      <w:r>
        <w:rPr>
          <w:b/>
          <w:bCs/>
        </w:rPr>
        <w:t xml:space="preserve">PJM — reliability backstop procurement: </w:t>
      </w:r>
      <w:r>
        <w:t>a one-time auction (ER26-3380) to buy back the shortfall from the July 2026 capacity auction, with a $555/MW-day offer cap and commitments up to 15 years; the target shrinks by any bilateral self-supply that appears first. Results are targeted for December 2026.</w:t>
      </w:r>
    </w:p>
    <w:p w14:paraId="70242FF5" w14:textId="77777777" w:rsidR="002F7CD0" w:rsidRDefault="00000000">
      <w:pPr>
        <w:pStyle w:val="ListParagraph"/>
        <w:numPr>
          <w:ilvl w:val="0"/>
          <w:numId w:val="2"/>
        </w:numPr>
        <w:spacing w:after="90" w:line="276" w:lineRule="auto"/>
      </w:pPr>
      <w:r>
        <w:rPr>
          <w:b/>
          <w:bCs/>
        </w:rPr>
        <w:t xml:space="preserve">MISO — firm offtake as an entry condition: </w:t>
      </w:r>
      <w:r>
        <w:t>LARS would require that paired generation hold a firm offtake agreement with the load, sit in the same Local Resource Zone, have 100% site control, and be sized between 250 MW and 150% of the load’s peak. Multiple facilities (e.g., solar plus storage) serving one load may file as a single application at one point of interconnection.</w:t>
      </w:r>
    </w:p>
    <w:p w14:paraId="3750AEC9" w14:textId="77777777" w:rsidR="002F7CD0" w:rsidRDefault="00000000">
      <w:pPr>
        <w:pStyle w:val="ListParagraph"/>
        <w:numPr>
          <w:ilvl w:val="0"/>
          <w:numId w:val="2"/>
        </w:numPr>
        <w:spacing w:after="90" w:line="276" w:lineRule="auto"/>
      </w:pPr>
      <w:r>
        <w:rPr>
          <w:b/>
          <w:bCs/>
        </w:rPr>
        <w:t xml:space="preserve">SPP — parallel generation study: </w:t>
      </w:r>
      <w:r>
        <w:t>HILLGA studies the load and its supporting generation together, with options for behind-the-meter, local-area or deliverability-area configurations; CHILLS lets the load operate on a curtailable basis while firm service is built.</w:t>
      </w:r>
    </w:p>
    <w:p w14:paraId="2D4E1456" w14:textId="77777777" w:rsidR="002F7CD0" w:rsidRDefault="00000000">
      <w:pPr>
        <w:pStyle w:val="ListParagraph"/>
        <w:numPr>
          <w:ilvl w:val="0"/>
          <w:numId w:val="2"/>
        </w:numPr>
        <w:spacing w:after="90" w:line="276" w:lineRule="auto"/>
      </w:pPr>
      <w:r>
        <w:rPr>
          <w:b/>
          <w:bCs/>
        </w:rPr>
        <w:t xml:space="preserve">ERCOT — co-location by approval, with a kill switch: </w:t>
      </w:r>
      <w:r>
        <w:t>co-location with existing generation needs ERCOT study and PUCT approval, co-located loads must accept remote disconnect, and the load’s security is set on gross peak regardless of on-site supply. PCLR status trades curtailment for queue priority.</w:t>
      </w:r>
    </w:p>
    <w:p w14:paraId="276EED60" w14:textId="77777777" w:rsidR="002F7CD0" w:rsidRDefault="00000000">
      <w:pPr>
        <w:pStyle w:val="ListParagraph"/>
        <w:numPr>
          <w:ilvl w:val="0"/>
          <w:numId w:val="2"/>
        </w:numPr>
        <w:spacing w:after="90" w:line="276" w:lineRule="auto"/>
      </w:pPr>
      <w:r>
        <w:rPr>
          <w:b/>
          <w:bCs/>
        </w:rPr>
        <w:t xml:space="preserve">Bilateral supply agreements: </w:t>
      </w:r>
      <w:r>
        <w:t>A bilateral PPA does not by itself deliver power. Where generation is not behind the meter, an Eligible Customer must still take transmission service on the load’s behalf, and FERC’s “electrically proximate” concept now offers a path for generation within about two substations of the load. In PJM, a bilateral contract counts toward the load’s obligation only if it brings new qualifying capacity.</w:t>
      </w:r>
    </w:p>
    <w:p w14:paraId="65955650" w14:textId="77777777" w:rsidR="002F7CD0" w:rsidRDefault="00000000">
      <w:pPr>
        <w:spacing w:after="140" w:line="288" w:lineRule="auto"/>
      </w:pPr>
      <w:r>
        <w:t>This is the U.S. arriving at India’s captive-power settlement: the load may supply itself, but it still pays for, and is still governed by, the grid it relies on. The near-term appeal of BYOP is real; as a permanent architecture it is questionable, because it locks generation to a single load, duplicates reserve requirements and erodes the diversity benefit that makes a shared grid efficient. The better long-term answer is accredited, contractable supply — whether on site or not — measured by what it delivers under stress.</w:t>
      </w:r>
    </w:p>
    <w:p w14:paraId="2D1D1E1F" w14:textId="77777777" w:rsidR="002F7CD0" w:rsidRDefault="00000000">
      <w:pPr>
        <w:pStyle w:val="Heading1"/>
        <w:pBdr>
          <w:bottom w:val="single" w:sz="6" w:space="4" w:color="2E75B6"/>
        </w:pBdr>
        <w:spacing w:before="320" w:after="140"/>
      </w:pPr>
      <w:r>
        <w:rPr>
          <w:b/>
          <w:bCs/>
          <w:color w:val="1F3864"/>
          <w:sz w:val="30"/>
          <w:szCs w:val="30"/>
        </w:rPr>
        <w:t>Who Pays for Grid Upgrades — and Are Costs Shared?</w:t>
      </w:r>
    </w:p>
    <w:p w14:paraId="511943AF" w14:textId="77777777" w:rsidR="002F7CD0" w:rsidRDefault="00000000">
      <w:pPr>
        <w:spacing w:after="140" w:line="288" w:lineRule="auto"/>
      </w:pPr>
      <w:r>
        <w:t>This is now the central political question, and the answer differs sharply between generation and load.</w:t>
      </w:r>
    </w:p>
    <w:p w14:paraId="514661CC" w14:textId="77777777" w:rsidR="002F7CD0" w:rsidRDefault="00000000">
      <w:pPr>
        <w:pStyle w:val="Heading2"/>
        <w:spacing w:before="220" w:after="100"/>
      </w:pPr>
      <w:r>
        <w:rPr>
          <w:b/>
          <w:bCs/>
          <w:color w:val="2E75B6"/>
          <w:sz w:val="25"/>
          <w:szCs w:val="25"/>
        </w:rPr>
        <w:t>Generation clusters: shared, by contribution</w:t>
      </w:r>
    </w:p>
    <w:p w14:paraId="1422A50E" w14:textId="77777777" w:rsidR="002F7CD0" w:rsidRDefault="00000000">
      <w:pPr>
        <w:spacing w:after="140" w:line="288" w:lineRule="auto"/>
      </w:pPr>
      <w:r>
        <w:t>In cluster studies, a network upgrade needed by several projects is shared among every request in the cluster that contributes to the need for it, allocated by each project’s impact (typically distribution factor and MW). PJM states this explicitly in its Phase I reports, and MISO redistributes withdrawal penalties pro rata per MW to the remaining projects in the cluster. Costs are recalculated at each phase as projects drop out — which is exactly why withdrawals are penalized.</w:t>
      </w:r>
    </w:p>
    <w:p w14:paraId="1022CAAD" w14:textId="77777777" w:rsidR="002F7CD0" w:rsidRDefault="00000000">
      <w:pPr>
        <w:pStyle w:val="Heading2"/>
        <w:spacing w:before="220" w:after="100"/>
      </w:pPr>
      <w:r>
        <w:rPr>
          <w:b/>
          <w:bCs/>
          <w:color w:val="2E75B6"/>
          <w:sz w:val="25"/>
          <w:szCs w:val="25"/>
        </w:rPr>
        <w:t>Large loads: mostly socialized today, moving toward direct assignment</w:t>
      </w:r>
    </w:p>
    <w:p w14:paraId="21C6185B" w14:textId="77777777" w:rsidR="002F7CD0" w:rsidRDefault="00000000">
      <w:pPr>
        <w:pStyle w:val="ListParagraph"/>
        <w:numPr>
          <w:ilvl w:val="0"/>
          <w:numId w:val="2"/>
        </w:numPr>
        <w:spacing w:after="90" w:line="276" w:lineRule="auto"/>
      </w:pPr>
      <w:r>
        <w:rPr>
          <w:b/>
          <w:bCs/>
        </w:rPr>
        <w:t xml:space="preserve">PJM regional transmission: </w:t>
      </w:r>
      <w:r>
        <w:t>upgrades driven by data center load have generally been planned as RTEP baseline reliability projects and spread across zones under PJM’s hybrid cost allocation. Maryland’s Office of People’s Counsel says about $22 billion of projects across three recent planning windows were driven principally by data centers, with roughly $2 billion assigned to Maryland customers; its complaint (EL26-63, filed May 7, 2026) asks FERC to assign those costs to the zones where the data centers sit.</w:t>
      </w:r>
    </w:p>
    <w:p w14:paraId="47A115CD" w14:textId="77777777" w:rsidR="002F7CD0" w:rsidRDefault="00000000">
      <w:pPr>
        <w:pStyle w:val="ListParagraph"/>
        <w:numPr>
          <w:ilvl w:val="0"/>
          <w:numId w:val="2"/>
        </w:numPr>
        <w:spacing w:after="90" w:line="276" w:lineRule="auto"/>
      </w:pPr>
      <w:r>
        <w:rPr>
          <w:b/>
          <w:bCs/>
        </w:rPr>
        <w:t xml:space="preserve">Bilateral Transmission Security Agreements: </w:t>
      </w:r>
      <w:r>
        <w:t>ComEd’s FERC-approved agreements require data centers to commit to a minimum contribution to the utility’s transmission revenue requirement over roughly ten years, backed by credit support and shortfall payments. Commissioner Chang warned that if upgrade costs outrun the committed revenue, or the customer leaves after the term, other customers may still bear the difference.</w:t>
      </w:r>
    </w:p>
    <w:p w14:paraId="09CE42E7" w14:textId="77777777" w:rsidR="002F7CD0" w:rsidRDefault="00000000">
      <w:pPr>
        <w:pStyle w:val="ListParagraph"/>
        <w:numPr>
          <w:ilvl w:val="0"/>
          <w:numId w:val="2"/>
        </w:numPr>
        <w:spacing w:after="90" w:line="276" w:lineRule="auto"/>
      </w:pPr>
      <w:r>
        <w:rPr>
          <w:b/>
          <w:bCs/>
        </w:rPr>
        <w:t xml:space="preserve">FERC’s show-cause direction: </w:t>
      </w:r>
      <w:r>
        <w:t xml:space="preserve">pro forma cost recovery agreements, minimum financial contributions secured by strict credit support, and public reporting of load-driven upgrade costs — i.e., the large load bears the risk, not </w:t>
      </w:r>
      <w:proofErr w:type="spellStart"/>
      <w:r>
        <w:t>neighbouring</w:t>
      </w:r>
      <w:proofErr w:type="spellEnd"/>
      <w:r>
        <w:t xml:space="preserve"> ratepayers. Retail cost allocation stays with the states.</w:t>
      </w:r>
    </w:p>
    <w:p w14:paraId="48E93AD6" w14:textId="77777777" w:rsidR="002F7CD0" w:rsidRDefault="00000000">
      <w:pPr>
        <w:pStyle w:val="ListParagraph"/>
        <w:numPr>
          <w:ilvl w:val="0"/>
          <w:numId w:val="2"/>
        </w:numPr>
        <w:spacing w:after="90" w:line="276" w:lineRule="auto"/>
      </w:pPr>
      <w:r>
        <w:rPr>
          <w:b/>
          <w:bCs/>
        </w:rPr>
        <w:t xml:space="preserve">SPP: </w:t>
      </w:r>
      <w:r>
        <w:t>under the Provisional Load Process, upgrade costs needed to serve the requested service are initially assigned to the transmission customer.</w:t>
      </w:r>
    </w:p>
    <w:p w14:paraId="3682EFF2" w14:textId="77777777" w:rsidR="002F7CD0" w:rsidRDefault="00000000">
      <w:pPr>
        <w:pStyle w:val="ListParagraph"/>
        <w:numPr>
          <w:ilvl w:val="0"/>
          <w:numId w:val="2"/>
        </w:numPr>
        <w:spacing w:after="90" w:line="276" w:lineRule="auto"/>
      </w:pPr>
      <w:r>
        <w:rPr>
          <w:b/>
          <w:bCs/>
        </w:rPr>
        <w:t xml:space="preserve">ERCOT: </w:t>
      </w:r>
      <w:r>
        <w:t>network costs are recovered through the four-coincident-peak (4CP) method, now under scrutiny because concentrated large loads drive localized upgrades. SB 6 and the PUCT rule add direct-interconnection charges, minimum billing demand and $50,000/MW security, and Batch Zero identifies upgrades for the whole batch at once.</w:t>
      </w:r>
    </w:p>
    <w:p w14:paraId="583BE656" w14:textId="77777777" w:rsidR="002F7CD0" w:rsidRDefault="00000000">
      <w:pPr>
        <w:pStyle w:val="Heading2"/>
        <w:spacing w:before="220" w:after="100"/>
      </w:pPr>
      <w:r>
        <w:rPr>
          <w:b/>
          <w:bCs/>
          <w:color w:val="2E75B6"/>
          <w:sz w:val="25"/>
          <w:szCs w:val="25"/>
        </w:rPr>
        <w:t>Is there sharing among multiple load applicants?</w:t>
      </w:r>
    </w:p>
    <w:p w14:paraId="0D005FC4" w14:textId="77777777" w:rsidR="002F7CD0" w:rsidRDefault="00000000">
      <w:pPr>
        <w:spacing w:after="140" w:line="288" w:lineRule="auto"/>
      </w:pPr>
      <w:r>
        <w:t xml:space="preserve">Not yet in a standardized way. Load requests have historically been studied one at a time, which makes the first mover pay for capacity that later </w:t>
      </w:r>
      <w:proofErr w:type="spellStart"/>
      <w:r>
        <w:t>neighbours</w:t>
      </w:r>
      <w:proofErr w:type="spellEnd"/>
      <w:r>
        <w:t xml:space="preserve"> use — or, worse, triggers restudies every time a new request lands. Batch and cluster processes change that: ERCOT’s Batch Zero allocates available capacity and identifies upgrades for the whole batch at once, and proposals before the California PUC would split cluster-driven upgrades among data center customers in proportion to requested load. MISO’s LARS and SPP’s HILL cycles create the same opportunity. The logical end-state mirrors generator clusters: shared upgrades allocated pro rata by contribution, with withdrawal penalties redistributed to those who stay — and, as the ANOPR asked, credits back to the load where an upgrade later serves the wider network.</w:t>
      </w:r>
    </w:p>
    <w:p w14:paraId="6266929B" w14:textId="77777777" w:rsidR="002F7CD0" w:rsidRDefault="00000000">
      <w:pPr>
        <w:pStyle w:val="Heading1"/>
        <w:pBdr>
          <w:bottom w:val="single" w:sz="6" w:space="4" w:color="2E75B6"/>
        </w:pBdr>
        <w:spacing w:before="320" w:after="140"/>
      </w:pPr>
      <w:r>
        <w:rPr>
          <w:b/>
          <w:bCs/>
          <w:color w:val="1F3864"/>
          <w:sz w:val="30"/>
          <w:szCs w:val="30"/>
        </w:rPr>
        <w:t>Technical Requirements: Looking a Lot Like Renewable Integration</w:t>
      </w:r>
    </w:p>
    <w:p w14:paraId="14132B30" w14:textId="77777777" w:rsidR="002F7CD0" w:rsidRDefault="00000000">
      <w:pPr>
        <w:spacing w:after="140" w:line="288" w:lineRule="auto"/>
      </w:pPr>
      <w:r>
        <w:t>Here is the most underappreciated aspect of this regulatory evolution: the technical requirements being developed for large AI loads are converging, almost point for point, with the requirements FERC imposed on large wind and solar plants over the 2012–2024 period. This is not coincidental — it reflects the same underlying grid physics.</w:t>
      </w:r>
    </w:p>
    <w:p w14:paraId="3E6C92F9" w14:textId="77777777" w:rsidR="002F7CD0" w:rsidRDefault="00000000">
      <w:pPr>
        <w:spacing w:after="140" w:line="288" w:lineRule="auto"/>
      </w:pPr>
      <w:r>
        <w:t xml:space="preserve">NERC escalated from a Level 2 recommendation (September 2025) to a Level 3 alert with mandatory essential actions (May 2026), and FERC has now ordered enforceable standards for computational loads (see the NERC section). In August 2026, CAISO became the first RTO to put baseline technical obligations in writing for large loads — ride-through, post-fault power recovery, ramp rates, telemetry, modeling data and commissioning — and SPP’s HILL studies already test against HILL ride-through requirements. The requirements echo the issues FERC addressed for variable </w:t>
      </w:r>
      <w:proofErr w:type="gramStart"/>
      <w:r>
        <w:t>generation</w:t>
      </w:r>
      <w:proofErr w:type="gramEnd"/>
      <w:r>
        <w:t xml:space="preserve"> a decade ago:</w:t>
      </w:r>
    </w:p>
    <w:p w14:paraId="664F3FAF" w14:textId="77777777" w:rsidR="002F7CD0" w:rsidRDefault="00000000">
      <w:pPr>
        <w:pStyle w:val="ListParagraph"/>
        <w:numPr>
          <w:ilvl w:val="0"/>
          <w:numId w:val="2"/>
        </w:numPr>
        <w:spacing w:after="90" w:line="276" w:lineRule="auto"/>
      </w:pPr>
      <w:r>
        <w:rPr>
          <w:b/>
          <w:bCs/>
        </w:rPr>
        <w:t xml:space="preserve">Fault Ride-Through (FRT): </w:t>
      </w:r>
      <w:r>
        <w:t>Large loads — especially those with co-located generation — must remain connected and stable during voltage and frequency excursions on the bulk system. The same NERC PRC-029-1 standard that now governs inverter-based generators’ ride-through behavior is directly relevant to data centers with power electronics at the grid interface.</w:t>
      </w:r>
    </w:p>
    <w:p w14:paraId="094B05A1" w14:textId="77777777" w:rsidR="002F7CD0" w:rsidRDefault="00000000">
      <w:pPr>
        <w:pStyle w:val="ListParagraph"/>
        <w:numPr>
          <w:ilvl w:val="0"/>
          <w:numId w:val="2"/>
        </w:numPr>
        <w:spacing w:after="90" w:line="276" w:lineRule="auto"/>
      </w:pPr>
      <w:r>
        <w:rPr>
          <w:b/>
          <w:bCs/>
        </w:rPr>
        <w:t xml:space="preserve">Voltage and Reactive Power Support: </w:t>
      </w:r>
      <w:r>
        <w:t>Just as FERC Order 827 (2016) required wind and solar to provide dynamic reactive power in the 0.95 pf lead/lag range, large loads with on-site generation or large UPS systems are increasingly expected to provide reactive support — or at minimum, not deteriorate voltage stability during fast ramps.</w:t>
      </w:r>
    </w:p>
    <w:p w14:paraId="1E2397EE" w14:textId="77777777" w:rsidR="002F7CD0" w:rsidRDefault="00000000">
      <w:pPr>
        <w:pStyle w:val="ListParagraph"/>
        <w:numPr>
          <w:ilvl w:val="0"/>
          <w:numId w:val="2"/>
        </w:numPr>
        <w:spacing w:after="90" w:line="276" w:lineRule="auto"/>
      </w:pPr>
      <w:r>
        <w:rPr>
          <w:b/>
          <w:bCs/>
        </w:rPr>
        <w:t xml:space="preserve">Active Power Support / Demand Response: </w:t>
      </w:r>
      <w:r>
        <w:t xml:space="preserve">FERC’s show-cause orders explicitly ask for transmission services that reward flexibility — the load-side equivalent of the primary frequency response requirements imposed on generators by Order 842 (2018). EPRI’s </w:t>
      </w:r>
      <w:proofErr w:type="spellStart"/>
      <w:r>
        <w:t>DCFlex</w:t>
      </w:r>
      <w:proofErr w:type="spellEnd"/>
      <w:r>
        <w:t xml:space="preserve"> project </w:t>
      </w:r>
      <w:proofErr w:type="gramStart"/>
      <w:r>
        <w:t>is testing</w:t>
      </w:r>
      <w:proofErr w:type="gramEnd"/>
      <w:r>
        <w:t xml:space="preserve"> workload shifting and UPS-as-grid-resource models with </w:t>
      </w:r>
      <w:proofErr w:type="spellStart"/>
      <w:r>
        <w:t>hyperscalers</w:t>
      </w:r>
      <w:proofErr w:type="spellEnd"/>
      <w:r>
        <w:t>, utilities and PJM.</w:t>
      </w:r>
    </w:p>
    <w:p w14:paraId="56883FE7" w14:textId="77777777" w:rsidR="002F7CD0" w:rsidRDefault="00000000">
      <w:pPr>
        <w:pStyle w:val="ListParagraph"/>
        <w:numPr>
          <w:ilvl w:val="0"/>
          <w:numId w:val="2"/>
        </w:numPr>
        <w:spacing w:after="90" w:line="276" w:lineRule="auto"/>
      </w:pPr>
      <w:r>
        <w:rPr>
          <w:b/>
          <w:bCs/>
        </w:rPr>
        <w:t xml:space="preserve">Power Quality Standards: </w:t>
      </w:r>
      <w:r>
        <w:t>Harmonics, flicker and voltage imbalance from large rectifier loads and power electronics in server farms must meet facility design criteria specified in transmission owners’ interconnection requirements — criteria that did not exist for loads of this scale until recently.</w:t>
      </w:r>
    </w:p>
    <w:p w14:paraId="440874D5" w14:textId="77777777" w:rsidR="002F7CD0" w:rsidRDefault="00000000">
      <w:pPr>
        <w:pStyle w:val="ListParagraph"/>
        <w:numPr>
          <w:ilvl w:val="0"/>
          <w:numId w:val="2"/>
        </w:numPr>
        <w:spacing w:after="90" w:line="276" w:lineRule="auto"/>
      </w:pPr>
      <w:r>
        <w:rPr>
          <w:b/>
          <w:bCs/>
        </w:rPr>
        <w:t xml:space="preserve">Co-Located Generation Accreditation (ELCC): </w:t>
      </w:r>
      <w:r>
        <w:t>A 1 GW data center with 800 MW of co-located gas generation is not automatically a 200 MW net grid obligation. The grid operator must determine how much of that co-located generation is truly firm and deliverable during stressed conditions — directly analogous to ELCC methodology for wind, solar and storage. The correct framework is net dependable load obligation: gross load minus only the accredited, ELCC-qualified behind-the-meter capacity. Forced outages, fuel curtailment, gas pressure interruptions, common-mode failures with the data center, and synchronization constraints all reduce ELCC below nameplate. Gas may qualify for 85–95% ELCC under ideal conditions; solar plus storage depends heavily on duration, seasonal coincidence and charging constraints. PJM’s “new qualifying capacity” test under IRAS is the first tariff to put this principle into practice.</w:t>
      </w:r>
    </w:p>
    <w:p w14:paraId="1376E925" w14:textId="77777777" w:rsidR="002F7CD0" w:rsidRDefault="00000000">
      <w:pPr>
        <w:pStyle w:val="Heading1"/>
        <w:pBdr>
          <w:bottom w:val="single" w:sz="6" w:space="4" w:color="2E75B6"/>
        </w:pBdr>
        <w:spacing w:before="320" w:after="140"/>
      </w:pPr>
      <w:r>
        <w:rPr>
          <w:b/>
          <w:bCs/>
          <w:color w:val="1F3864"/>
          <w:sz w:val="30"/>
          <w:szCs w:val="30"/>
        </w:rPr>
        <w:t>Commercial Framework: Standard Studies, Cost Allocation, and ‘Bring Your Own Power’</w:t>
      </w:r>
    </w:p>
    <w:p w14:paraId="53DAFB25" w14:textId="77777777" w:rsidR="002F7CD0" w:rsidRDefault="00000000">
      <w:pPr>
        <w:spacing w:after="140" w:line="288" w:lineRule="auto"/>
      </w:pPr>
      <w:r>
        <w:t>The commercial dimensions of the emerging framework parallel the generator interconnection evolution under Orders 2003 through 2023-A:</w:t>
      </w:r>
    </w:p>
    <w:p w14:paraId="12E197F4" w14:textId="77777777" w:rsidR="002F7CD0" w:rsidRDefault="00000000">
      <w:pPr>
        <w:pStyle w:val="ListParagraph"/>
        <w:numPr>
          <w:ilvl w:val="0"/>
          <w:numId w:val="2"/>
        </w:numPr>
        <w:spacing w:after="90" w:line="276" w:lineRule="auto"/>
      </w:pPr>
      <w:r>
        <w:rPr>
          <w:b/>
          <w:bCs/>
        </w:rPr>
        <w:t xml:space="preserve">Standardized Interconnection Studies: </w:t>
      </w:r>
      <w:r>
        <w:t>Queue entry requirements, defined study phases, binding timelines and financial readiness milestones — now appearing as SPP’s 90-day HILL study, MISO’s proposed 120-day LARS and ERCOT’s batch process.</w:t>
      </w:r>
    </w:p>
    <w:p w14:paraId="738F397D" w14:textId="77777777" w:rsidR="002F7CD0" w:rsidRDefault="00000000">
      <w:pPr>
        <w:pStyle w:val="ListParagraph"/>
        <w:numPr>
          <w:ilvl w:val="0"/>
          <w:numId w:val="2"/>
        </w:numPr>
        <w:spacing w:after="90" w:line="276" w:lineRule="auto"/>
      </w:pPr>
      <w:r>
        <w:rPr>
          <w:b/>
          <w:bCs/>
        </w:rPr>
        <w:t xml:space="preserve">Cost Allocation for Network Upgrades: </w:t>
      </w:r>
      <w:r>
        <w:t xml:space="preserve">The direction is participant funding with credit support, replacing broad socialization. Under the Indiana NIPSCO–Amazon arrangement, Amazon funds the generation and transmission infrastructure through a dedicated </w:t>
      </w:r>
      <w:proofErr w:type="spellStart"/>
      <w:r>
        <w:t>GenCo</w:t>
      </w:r>
      <w:proofErr w:type="spellEnd"/>
      <w:r>
        <w:t xml:space="preserve"> structure while existing ratepayers are protected.</w:t>
      </w:r>
    </w:p>
    <w:p w14:paraId="589D660C" w14:textId="77777777" w:rsidR="002F7CD0" w:rsidRDefault="00000000">
      <w:pPr>
        <w:pStyle w:val="ListParagraph"/>
        <w:numPr>
          <w:ilvl w:val="0"/>
          <w:numId w:val="2"/>
        </w:numPr>
        <w:spacing w:after="90" w:line="276" w:lineRule="auto"/>
      </w:pPr>
      <w:r>
        <w:rPr>
          <w:b/>
          <w:bCs/>
        </w:rPr>
        <w:t xml:space="preserve">Bring Your Own Power (BYOP): </w:t>
      </w:r>
      <w:r>
        <w:t>The co-location model is the U.S. equivalent of India’s older captive wind policies, which let industrial consumers develop wind projects to serve their own load, net of grid charges. India required captive users to stay grid-connected and pay wheeling and transmission charges — the same tension now resolved in PJM through the choice between NITS and contract-demand service.</w:t>
      </w:r>
    </w:p>
    <w:p w14:paraId="2960BB18" w14:textId="77777777" w:rsidR="002F7CD0" w:rsidRDefault="00000000">
      <w:pPr>
        <w:pStyle w:val="ListParagraph"/>
        <w:numPr>
          <w:ilvl w:val="0"/>
          <w:numId w:val="2"/>
        </w:numPr>
        <w:spacing w:after="90" w:line="276" w:lineRule="auto"/>
      </w:pPr>
      <w:r>
        <w:rPr>
          <w:b/>
          <w:bCs/>
        </w:rPr>
        <w:t xml:space="preserve">Surplus Interconnection Service: </w:t>
      </w:r>
      <w:r>
        <w:t>Order 845 (2018) created this concept for generators; the large load framework is extending it, allowing new loads to use unused capacity in existing interconnection agreements and reducing upgrade cost and timeline.</w:t>
      </w:r>
    </w:p>
    <w:p w14:paraId="7EF64E4C" w14:textId="77777777" w:rsidR="002F7CD0" w:rsidRDefault="00000000">
      <w:pPr>
        <w:pStyle w:val="Heading1"/>
        <w:pBdr>
          <w:bottom w:val="single" w:sz="6" w:space="4" w:color="2E75B6"/>
        </w:pBdr>
        <w:spacing w:before="320" w:after="140"/>
      </w:pPr>
      <w:proofErr w:type="gramStart"/>
      <w:r>
        <w:rPr>
          <w:b/>
          <w:bCs/>
          <w:color w:val="1F3864"/>
          <w:sz w:val="30"/>
          <w:szCs w:val="30"/>
        </w:rPr>
        <w:t>The Reliability</w:t>
      </w:r>
      <w:proofErr w:type="gramEnd"/>
      <w:r>
        <w:rPr>
          <w:b/>
          <w:bCs/>
          <w:color w:val="1F3864"/>
          <w:sz w:val="30"/>
          <w:szCs w:val="30"/>
        </w:rPr>
        <w:t xml:space="preserve"> Stakes: LOLE and Capacity Shortfalls</w:t>
      </w:r>
    </w:p>
    <w:p w14:paraId="4A26BDDC" w14:textId="77777777" w:rsidR="002F7CD0" w:rsidRDefault="00000000">
      <w:pPr>
        <w:spacing w:after="140" w:line="288" w:lineRule="auto"/>
      </w:pPr>
      <w:r>
        <w:t xml:space="preserve">PJM’s December 2025 auction for 2027/28 closed about 6,623 MW short of its reliability requirement. The July 14, </w:t>
      </w:r>
      <w:proofErr w:type="gramStart"/>
      <w:r>
        <w:t>2026</w:t>
      </w:r>
      <w:proofErr w:type="gramEnd"/>
      <w:r>
        <w:t xml:space="preserve"> auction for 2028/29 cleared at the $325/MW-day cap and was again short — by about 6,831 MW. PJM’s traditional adequacy standard is LOLE ≤ 0.1 days/year (one loss-of-load event in ten years), and it is under pressure from three simultaneous forces: rapid AI load growth, generator retirements, and slow interconnection of new supply. NERC has flagged the speed and scale of data center buildout as a near-term bulk power system reliability challenge.</w:t>
      </w:r>
    </w:p>
    <w:p w14:paraId="4B4E6B53" w14:textId="77777777" w:rsidR="002F7CD0" w:rsidRDefault="00000000">
      <w:pPr>
        <w:spacing w:after="140" w:line="288" w:lineRule="auto"/>
      </w:pPr>
      <w:r>
        <w:t xml:space="preserve">The irony is that large AI loads, properly integrated with demand flexibility commitments, could be reliability assets rather than liabilities. A 1 GW data center that can verifiably curtail 400 MW of non-critical inference workloads during a summer peak, or switch to on-site generation within seconds of a frequency event, is providing a service equivalent to a fast-response generation asset. PJM’s IRAS is the blunt version of this idea — curtail the uncovered load first; SPP’s CHILLS and PALS are the priced version. The framework needs to recognize and reward the second, </w:t>
      </w:r>
      <w:proofErr w:type="gramStart"/>
      <w:r>
        <w:t>not only impose</w:t>
      </w:r>
      <w:proofErr w:type="gramEnd"/>
      <w:r>
        <w:t xml:space="preserve"> the first.</w:t>
      </w:r>
    </w:p>
    <w:p w14:paraId="1A783728" w14:textId="77777777" w:rsidR="002F7CD0" w:rsidRDefault="00000000">
      <w:pPr>
        <w:pStyle w:val="Heading1"/>
        <w:pBdr>
          <w:bottom w:val="single" w:sz="6" w:space="4" w:color="2E75B6"/>
        </w:pBdr>
        <w:spacing w:before="320" w:after="140"/>
      </w:pPr>
      <w:r>
        <w:rPr>
          <w:b/>
          <w:bCs/>
          <w:color w:val="1F3864"/>
          <w:sz w:val="30"/>
          <w:szCs w:val="30"/>
        </w:rPr>
        <w:t>What Uniform Rules Should Contain</w:t>
      </w:r>
    </w:p>
    <w:p w14:paraId="10E8B182" w14:textId="77777777" w:rsidR="002F7CD0" w:rsidRDefault="00000000">
      <w:pPr>
        <w:spacing w:after="140" w:line="288" w:lineRule="auto"/>
      </w:pPr>
      <w:r>
        <w:t>FERC chose regional flexibility over a single national rule — a defensible call for speed, but one that leaves the patchwork across PJM, SPP, MISO, CAISO, ERCOT (state-jurisdictional) and the non-RTO Southeast in place, with the regulatory arbitrage and siting distortion that follow. The November 2026 Section 205 filings should at least converge on a common floor:</w:t>
      </w:r>
    </w:p>
    <w:p w14:paraId="49EE6FA3" w14:textId="77777777" w:rsidR="002F7CD0" w:rsidRDefault="00000000">
      <w:pPr>
        <w:pStyle w:val="ListParagraph"/>
        <w:numPr>
          <w:ilvl w:val="0"/>
          <w:numId w:val="2"/>
        </w:numPr>
        <w:spacing w:after="90" w:line="276" w:lineRule="auto"/>
      </w:pPr>
      <w:r>
        <w:rPr>
          <w:b/>
          <w:bCs/>
        </w:rPr>
        <w:t xml:space="preserve">Technical Performance Standards: </w:t>
      </w:r>
      <w:r>
        <w:t>Standardized fault ride-through curves (frequency and voltage), reactive capability at the point of interconnection, primary frequency response or verified demand-response equivalents, power quality limits, and protection coordination — for all large loads above the threshold, with or without co-located generation.</w:t>
      </w:r>
    </w:p>
    <w:p w14:paraId="5B3DAEE2" w14:textId="77777777" w:rsidR="002F7CD0" w:rsidRDefault="00000000">
      <w:pPr>
        <w:pStyle w:val="ListParagraph"/>
        <w:numPr>
          <w:ilvl w:val="0"/>
          <w:numId w:val="2"/>
        </w:numPr>
        <w:spacing w:after="90" w:line="276" w:lineRule="auto"/>
      </w:pPr>
      <w:r>
        <w:rPr>
          <w:b/>
          <w:bCs/>
        </w:rPr>
        <w:t xml:space="preserve">ELCC-Based Co-Location Accreditation: </w:t>
      </w:r>
      <w:r>
        <w:t>A probabilistic methodology for how much co-located generation offsets the grid obligation. Credit should be performance-based — conditioned on firm fuel, demonstrated availability, black-start or islanding capability and independent protection. Not nameplate. Not proximity.</w:t>
      </w:r>
    </w:p>
    <w:p w14:paraId="686AF8CE" w14:textId="77777777" w:rsidR="002F7CD0" w:rsidRDefault="00000000">
      <w:pPr>
        <w:pStyle w:val="ListParagraph"/>
        <w:numPr>
          <w:ilvl w:val="0"/>
          <w:numId w:val="2"/>
        </w:numPr>
        <w:spacing w:after="90" w:line="276" w:lineRule="auto"/>
      </w:pPr>
      <w:r>
        <w:rPr>
          <w:b/>
          <w:bCs/>
        </w:rPr>
        <w:t xml:space="preserve">Net Dependable Load Obligation Framework: </w:t>
      </w:r>
      <w:r>
        <w:t>Treatment of co-located loads should rest on net reliability impact under normal and contingency conditions. Contingency reserve obligations should remain even where average net load is near zero, because loads may suddenly lean on the grid during generation outages.</w:t>
      </w:r>
    </w:p>
    <w:p w14:paraId="6AD7D578" w14:textId="77777777" w:rsidR="002F7CD0" w:rsidRDefault="00000000">
      <w:pPr>
        <w:pStyle w:val="ListParagraph"/>
        <w:numPr>
          <w:ilvl w:val="0"/>
          <w:numId w:val="2"/>
        </w:numPr>
        <w:spacing w:after="90" w:line="276" w:lineRule="auto"/>
      </w:pPr>
      <w:r>
        <w:rPr>
          <w:b/>
          <w:bCs/>
        </w:rPr>
        <w:t xml:space="preserve">Standardized Study Process with Binding Timelines: </w:t>
      </w:r>
      <w:r>
        <w:t xml:space="preserve">Cluster or </w:t>
      </w:r>
      <w:proofErr w:type="gramStart"/>
      <w:r>
        <w:t>batch</w:t>
      </w:r>
      <w:proofErr w:type="gramEnd"/>
      <w:r>
        <w:t xml:space="preserve"> studies with financial readiness milestones, withdrawal penalties and defined timelines — mirroring Order 2023 and adapted for load characteristics.</w:t>
      </w:r>
    </w:p>
    <w:p w14:paraId="7525463D" w14:textId="77777777" w:rsidR="002F7CD0" w:rsidRDefault="00000000">
      <w:pPr>
        <w:pStyle w:val="ListParagraph"/>
        <w:numPr>
          <w:ilvl w:val="0"/>
          <w:numId w:val="2"/>
        </w:numPr>
        <w:spacing w:after="90" w:line="276" w:lineRule="auto"/>
      </w:pPr>
      <w:r>
        <w:rPr>
          <w:b/>
          <w:bCs/>
        </w:rPr>
        <w:t xml:space="preserve">Shared-Upgrade Cost Allocation Among Applicants: </w:t>
      </w:r>
      <w:r>
        <w:t>Upgrades triggered by a batch of loads should be allocated pro rata by contribution, with withdrawal penalties redistributed and crediting where upgrades later serve the network — ending first-mover penalties and serial restudies.</w:t>
      </w:r>
    </w:p>
    <w:p w14:paraId="320496DC" w14:textId="77777777" w:rsidR="002F7CD0" w:rsidRDefault="00000000">
      <w:pPr>
        <w:pStyle w:val="ListParagraph"/>
        <w:numPr>
          <w:ilvl w:val="0"/>
          <w:numId w:val="2"/>
        </w:numPr>
        <w:spacing w:after="90" w:line="276" w:lineRule="auto"/>
      </w:pPr>
      <w:r>
        <w:rPr>
          <w:b/>
          <w:bCs/>
        </w:rPr>
        <w:t xml:space="preserve">100% Participant Funding with Ratepayer Firewall: </w:t>
      </w:r>
      <w:r>
        <w:t>Large loads pay for the upgrades their interconnection necessitates. Existing ratepayers are protected through structural mechanisms (pro forma cost recovery agreements, credit support, dedicated subsidiaries) — not regulatory promises.</w:t>
      </w:r>
    </w:p>
    <w:p w14:paraId="751C43C5" w14:textId="77777777" w:rsidR="002F7CD0" w:rsidRDefault="00000000">
      <w:pPr>
        <w:pStyle w:val="ListParagraph"/>
        <w:numPr>
          <w:ilvl w:val="0"/>
          <w:numId w:val="2"/>
        </w:numPr>
        <w:spacing w:after="90" w:line="276" w:lineRule="auto"/>
      </w:pPr>
      <w:r>
        <w:rPr>
          <w:b/>
          <w:bCs/>
        </w:rPr>
        <w:t xml:space="preserve">Demand Flexibility Commitments as Grid Currency: </w:t>
      </w:r>
      <w:r>
        <w:t>Verified curtailment, workload shifting and UPS-as-grid-resource should earn partial equivalence to capacity and ancillary service contributions, with higher credit for islanding, black-start readiness, BESS integration and dispatch coordination.</w:t>
      </w:r>
    </w:p>
    <w:p w14:paraId="5860D234" w14:textId="77777777" w:rsidR="002F7CD0" w:rsidRDefault="00000000">
      <w:pPr>
        <w:pStyle w:val="ListParagraph"/>
        <w:numPr>
          <w:ilvl w:val="0"/>
          <w:numId w:val="2"/>
        </w:numPr>
        <w:spacing w:after="90" w:line="276" w:lineRule="auto"/>
      </w:pPr>
      <w:r>
        <w:rPr>
          <w:b/>
          <w:bCs/>
        </w:rPr>
        <w:t xml:space="preserve">Dynamic Operating Agreements: </w:t>
      </w:r>
      <w:r>
        <w:t>Phased energization, flexible operating envelopes, interim non-firm service and staged capacity commitments — recognizing that data centers build in phases, often faster than utility planning permits.</w:t>
      </w:r>
    </w:p>
    <w:p w14:paraId="156CF5A0" w14:textId="77777777" w:rsidR="002F7CD0" w:rsidRDefault="00000000">
      <w:pPr>
        <w:pStyle w:val="ListParagraph"/>
        <w:numPr>
          <w:ilvl w:val="0"/>
          <w:numId w:val="2"/>
        </w:numPr>
        <w:spacing w:after="90" w:line="276" w:lineRule="auto"/>
      </w:pPr>
      <w:r>
        <w:rPr>
          <w:b/>
          <w:bCs/>
        </w:rPr>
        <w:t xml:space="preserve">Mandatory Load Forecasting and Transparency: </w:t>
      </w:r>
      <w:r>
        <w:t>Large load developers must provide verified load forecasts — ramp profiles, GPU utilization curves and contingency behavior — with meaningful penalties for material misrepresentation. This directly parallels the meteorological and operational data obligations FERC imposed on wind and solar under Order 764 (2012): variable resources cannot be integrated without accurate, forward-looking output forecasts. From the operator’s perspective, a 500 MW load that can swing 300 MW in minutes is as consequential as a 500 MW variable generator. PJM’s Large Load Registry is a first step; it should become a national standard.</w:t>
      </w:r>
    </w:p>
    <w:p w14:paraId="1017C1B6" w14:textId="77777777" w:rsidR="002F7CD0" w:rsidRDefault="00000000">
      <w:pPr>
        <w:pStyle w:val="Heading1"/>
        <w:pBdr>
          <w:bottom w:val="single" w:sz="6" w:space="4" w:color="2E75B6"/>
        </w:pBdr>
        <w:spacing w:before="320" w:after="140"/>
      </w:pPr>
      <w:r>
        <w:rPr>
          <w:b/>
          <w:bCs/>
          <w:color w:val="1F3864"/>
          <w:sz w:val="30"/>
          <w:szCs w:val="30"/>
        </w:rPr>
        <w:t>What to Watch Next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360"/>
      </w:tblGrid>
      <w:tr w:rsidR="002F7CD0" w14:paraId="10FDD851" w14:textId="77777777">
        <w:tblPrEx>
          <w:tblCellMar>
            <w:top w:w="0" w:type="dxa"/>
            <w:bottom w:w="0" w:type="dxa"/>
          </w:tblCellMar>
        </w:tblPrEx>
        <w:trPr>
          <w:tblHeader/>
        </w:trPr>
        <w:tc>
          <w:tcPr>
            <w:tcW w:w="2000" w:type="dxa"/>
            <w:shd w:val="clear" w:color="auto" w:fill="1F3864"/>
            <w:tcMar>
              <w:top w:w="70" w:type="dxa"/>
              <w:left w:w="100" w:type="dxa"/>
              <w:bottom w:w="70" w:type="dxa"/>
              <w:right w:w="100" w:type="dxa"/>
            </w:tcMar>
          </w:tcPr>
          <w:p w14:paraId="7A6F1AA3" w14:textId="77777777" w:rsidR="002F7CD0" w:rsidRDefault="00000000">
            <w:pPr>
              <w:spacing w:after="30"/>
            </w:pPr>
            <w:r>
              <w:rPr>
                <w:b/>
                <w:bCs/>
                <w:color w:val="FFFFFF"/>
                <w:sz w:val="18"/>
                <w:szCs w:val="18"/>
              </w:rPr>
              <w:t>Date</w:t>
            </w:r>
          </w:p>
        </w:tc>
        <w:tc>
          <w:tcPr>
            <w:tcW w:w="7360" w:type="dxa"/>
            <w:shd w:val="clear" w:color="auto" w:fill="1F3864"/>
            <w:tcMar>
              <w:top w:w="70" w:type="dxa"/>
              <w:left w:w="100" w:type="dxa"/>
              <w:bottom w:w="70" w:type="dxa"/>
              <w:right w:w="100" w:type="dxa"/>
            </w:tcMar>
          </w:tcPr>
          <w:p w14:paraId="135DCFE9" w14:textId="77777777" w:rsidR="002F7CD0" w:rsidRDefault="00000000">
            <w:pPr>
              <w:spacing w:after="30"/>
            </w:pPr>
            <w:r>
              <w:rPr>
                <w:b/>
                <w:bCs/>
                <w:color w:val="FFFFFF"/>
                <w:sz w:val="18"/>
                <w:szCs w:val="18"/>
              </w:rPr>
              <w:t>Event</w:t>
            </w:r>
          </w:p>
        </w:tc>
      </w:tr>
      <w:tr w:rsidR="002F7CD0" w14:paraId="03AD9CC0" w14:textId="77777777">
        <w:tblPrEx>
          <w:tblCellMar>
            <w:top w:w="0" w:type="dxa"/>
            <w:bottom w:w="0" w:type="dxa"/>
          </w:tblCellMar>
        </w:tblPrEx>
        <w:trPr>
          <w:cantSplit/>
        </w:trPr>
        <w:tc>
          <w:tcPr>
            <w:tcW w:w="2000" w:type="dxa"/>
            <w:shd w:val="clear" w:color="auto" w:fill="FFFFFF"/>
            <w:tcMar>
              <w:top w:w="70" w:type="dxa"/>
              <w:left w:w="100" w:type="dxa"/>
              <w:bottom w:w="70" w:type="dxa"/>
              <w:right w:w="100" w:type="dxa"/>
            </w:tcMar>
          </w:tcPr>
          <w:p w14:paraId="75605784" w14:textId="77777777" w:rsidR="002F7CD0" w:rsidRDefault="00000000">
            <w:pPr>
              <w:spacing w:after="30"/>
            </w:pPr>
            <w:r>
              <w:rPr>
                <w:b/>
                <w:bCs/>
                <w:color w:val="000000"/>
                <w:sz w:val="17"/>
                <w:szCs w:val="17"/>
              </w:rPr>
              <w:t>Oct 12, 2026</w:t>
            </w:r>
          </w:p>
        </w:tc>
        <w:tc>
          <w:tcPr>
            <w:tcW w:w="7360" w:type="dxa"/>
            <w:shd w:val="clear" w:color="auto" w:fill="FFFFFF"/>
            <w:tcMar>
              <w:top w:w="70" w:type="dxa"/>
              <w:left w:w="100" w:type="dxa"/>
              <w:bottom w:w="70" w:type="dxa"/>
              <w:right w:w="100" w:type="dxa"/>
            </w:tcMar>
          </w:tcPr>
          <w:p w14:paraId="0C0A56B9" w14:textId="77777777" w:rsidR="002F7CD0" w:rsidRDefault="00000000">
            <w:pPr>
              <w:spacing w:after="30"/>
            </w:pPr>
            <w:r>
              <w:rPr>
                <w:color w:val="000000"/>
                <w:sz w:val="17"/>
                <w:szCs w:val="17"/>
              </w:rPr>
              <w:t>PJM’s requested effective date for IRAS / Large Load Registry (ER26-3515)</w:t>
            </w:r>
          </w:p>
        </w:tc>
      </w:tr>
      <w:tr w:rsidR="002F7CD0" w14:paraId="12B5034F" w14:textId="77777777">
        <w:tblPrEx>
          <w:tblCellMar>
            <w:top w:w="0" w:type="dxa"/>
            <w:bottom w:w="0" w:type="dxa"/>
          </w:tblCellMar>
        </w:tblPrEx>
        <w:trPr>
          <w:cantSplit/>
        </w:trPr>
        <w:tc>
          <w:tcPr>
            <w:tcW w:w="2000" w:type="dxa"/>
            <w:shd w:val="clear" w:color="auto" w:fill="F2F6FB"/>
            <w:tcMar>
              <w:top w:w="70" w:type="dxa"/>
              <w:left w:w="100" w:type="dxa"/>
              <w:bottom w:w="70" w:type="dxa"/>
              <w:right w:w="100" w:type="dxa"/>
            </w:tcMar>
          </w:tcPr>
          <w:p w14:paraId="3663254D" w14:textId="77777777" w:rsidR="002F7CD0" w:rsidRDefault="00000000">
            <w:pPr>
              <w:spacing w:after="30"/>
            </w:pPr>
            <w:r>
              <w:rPr>
                <w:b/>
                <w:bCs/>
                <w:color w:val="000000"/>
                <w:sz w:val="17"/>
                <w:szCs w:val="17"/>
              </w:rPr>
              <w:t>Oct 18, 2026</w:t>
            </w:r>
          </w:p>
        </w:tc>
        <w:tc>
          <w:tcPr>
            <w:tcW w:w="7360" w:type="dxa"/>
            <w:shd w:val="clear" w:color="auto" w:fill="F2F6FB"/>
            <w:tcMar>
              <w:top w:w="70" w:type="dxa"/>
              <w:left w:w="100" w:type="dxa"/>
              <w:bottom w:w="70" w:type="dxa"/>
              <w:right w:w="100" w:type="dxa"/>
            </w:tcMar>
          </w:tcPr>
          <w:p w14:paraId="149AD39E" w14:textId="77777777" w:rsidR="002F7CD0" w:rsidRDefault="00000000">
            <w:pPr>
              <w:spacing w:after="30"/>
            </w:pPr>
            <w:r>
              <w:rPr>
                <w:color w:val="000000"/>
                <w:sz w:val="17"/>
                <w:szCs w:val="17"/>
              </w:rPr>
              <w:t>MISO LARS target effective date, if approved</w:t>
            </w:r>
          </w:p>
        </w:tc>
      </w:tr>
      <w:tr w:rsidR="002F7CD0" w14:paraId="564E469B" w14:textId="77777777">
        <w:tblPrEx>
          <w:tblCellMar>
            <w:top w:w="0" w:type="dxa"/>
            <w:bottom w:w="0" w:type="dxa"/>
          </w:tblCellMar>
        </w:tblPrEx>
        <w:trPr>
          <w:cantSplit/>
        </w:trPr>
        <w:tc>
          <w:tcPr>
            <w:tcW w:w="2000" w:type="dxa"/>
            <w:shd w:val="clear" w:color="auto" w:fill="FFFFFF"/>
            <w:tcMar>
              <w:top w:w="70" w:type="dxa"/>
              <w:left w:w="100" w:type="dxa"/>
              <w:bottom w:w="70" w:type="dxa"/>
              <w:right w:w="100" w:type="dxa"/>
            </w:tcMar>
          </w:tcPr>
          <w:p w14:paraId="454C95F0" w14:textId="77777777" w:rsidR="002F7CD0" w:rsidRDefault="00000000">
            <w:pPr>
              <w:spacing w:after="30"/>
            </w:pPr>
            <w:r>
              <w:rPr>
                <w:b/>
                <w:bCs/>
                <w:color w:val="000000"/>
                <w:sz w:val="17"/>
                <w:szCs w:val="17"/>
              </w:rPr>
              <w:t>~Mid-Nov 2026</w:t>
            </w:r>
          </w:p>
        </w:tc>
        <w:tc>
          <w:tcPr>
            <w:tcW w:w="7360" w:type="dxa"/>
            <w:shd w:val="clear" w:color="auto" w:fill="FFFFFF"/>
            <w:tcMar>
              <w:top w:w="70" w:type="dxa"/>
              <w:left w:w="100" w:type="dxa"/>
              <w:bottom w:w="70" w:type="dxa"/>
              <w:right w:w="100" w:type="dxa"/>
            </w:tcMar>
          </w:tcPr>
          <w:p w14:paraId="2620E06C" w14:textId="77777777" w:rsidR="002F7CD0" w:rsidRDefault="00000000">
            <w:pPr>
              <w:spacing w:after="30"/>
            </w:pPr>
            <w:r>
              <w:rPr>
                <w:color w:val="000000"/>
                <w:sz w:val="17"/>
                <w:szCs w:val="17"/>
              </w:rPr>
              <w:t>Section 205 tariff filings from all six RTOs following abeyance (EL26-67 to -72); SPP PALS filing targeted Nov 16</w:t>
            </w:r>
          </w:p>
        </w:tc>
      </w:tr>
      <w:tr w:rsidR="002F7CD0" w14:paraId="595503B3" w14:textId="77777777">
        <w:tblPrEx>
          <w:tblCellMar>
            <w:top w:w="0" w:type="dxa"/>
            <w:bottom w:w="0" w:type="dxa"/>
          </w:tblCellMar>
        </w:tblPrEx>
        <w:trPr>
          <w:cantSplit/>
        </w:trPr>
        <w:tc>
          <w:tcPr>
            <w:tcW w:w="2000" w:type="dxa"/>
            <w:shd w:val="clear" w:color="auto" w:fill="F2F6FB"/>
            <w:tcMar>
              <w:top w:w="70" w:type="dxa"/>
              <w:left w:w="100" w:type="dxa"/>
              <w:bottom w:w="70" w:type="dxa"/>
              <w:right w:w="100" w:type="dxa"/>
            </w:tcMar>
          </w:tcPr>
          <w:p w14:paraId="13F78B11" w14:textId="77777777" w:rsidR="002F7CD0" w:rsidRDefault="00000000">
            <w:pPr>
              <w:spacing w:after="30"/>
            </w:pPr>
            <w:r>
              <w:rPr>
                <w:b/>
                <w:bCs/>
                <w:color w:val="000000"/>
                <w:sz w:val="17"/>
                <w:szCs w:val="17"/>
              </w:rPr>
              <w:t>Dec 2026</w:t>
            </w:r>
          </w:p>
        </w:tc>
        <w:tc>
          <w:tcPr>
            <w:tcW w:w="7360" w:type="dxa"/>
            <w:shd w:val="clear" w:color="auto" w:fill="F2F6FB"/>
            <w:tcMar>
              <w:top w:w="70" w:type="dxa"/>
              <w:left w:w="100" w:type="dxa"/>
              <w:bottom w:w="70" w:type="dxa"/>
              <w:right w:w="100" w:type="dxa"/>
            </w:tcMar>
          </w:tcPr>
          <w:p w14:paraId="1A9ECE17" w14:textId="77777777" w:rsidR="002F7CD0" w:rsidRDefault="00000000">
            <w:pPr>
              <w:spacing w:after="30"/>
            </w:pPr>
            <w:r>
              <w:rPr>
                <w:color w:val="000000"/>
                <w:sz w:val="17"/>
                <w:szCs w:val="17"/>
              </w:rPr>
              <w:t>PJM Reliability Backstop Procurement results (ER26-3380)</w:t>
            </w:r>
          </w:p>
        </w:tc>
      </w:tr>
      <w:tr w:rsidR="002F7CD0" w14:paraId="6070740D" w14:textId="77777777">
        <w:tblPrEx>
          <w:tblCellMar>
            <w:top w:w="0" w:type="dxa"/>
            <w:bottom w:w="0" w:type="dxa"/>
          </w:tblCellMar>
        </w:tblPrEx>
        <w:trPr>
          <w:cantSplit/>
        </w:trPr>
        <w:tc>
          <w:tcPr>
            <w:tcW w:w="2000" w:type="dxa"/>
            <w:shd w:val="clear" w:color="auto" w:fill="FFFFFF"/>
            <w:tcMar>
              <w:top w:w="70" w:type="dxa"/>
              <w:left w:w="100" w:type="dxa"/>
              <w:bottom w:w="70" w:type="dxa"/>
              <w:right w:w="100" w:type="dxa"/>
            </w:tcMar>
          </w:tcPr>
          <w:p w14:paraId="2D7BBE79" w14:textId="77777777" w:rsidR="002F7CD0" w:rsidRDefault="00000000">
            <w:pPr>
              <w:spacing w:after="30"/>
            </w:pPr>
            <w:r>
              <w:rPr>
                <w:b/>
                <w:bCs/>
                <w:color w:val="000000"/>
                <w:sz w:val="17"/>
                <w:szCs w:val="17"/>
              </w:rPr>
              <w:t>Pending</w:t>
            </w:r>
          </w:p>
        </w:tc>
        <w:tc>
          <w:tcPr>
            <w:tcW w:w="7360" w:type="dxa"/>
            <w:shd w:val="clear" w:color="auto" w:fill="FFFFFF"/>
            <w:tcMar>
              <w:top w:w="70" w:type="dxa"/>
              <w:left w:w="100" w:type="dxa"/>
              <w:bottom w:w="70" w:type="dxa"/>
              <w:right w:w="100" w:type="dxa"/>
            </w:tcMar>
          </w:tcPr>
          <w:p w14:paraId="7F46F6A1" w14:textId="77777777" w:rsidR="002F7CD0" w:rsidRDefault="00000000">
            <w:pPr>
              <w:spacing w:after="30"/>
            </w:pPr>
            <w:r>
              <w:rPr>
                <w:color w:val="000000"/>
                <w:sz w:val="17"/>
                <w:szCs w:val="17"/>
              </w:rPr>
              <w:t>FERC ruling on Maryland OPC complaint on data-center-driven RTEP cost allocation (EL26-63)</w:t>
            </w:r>
          </w:p>
        </w:tc>
      </w:tr>
      <w:tr w:rsidR="002F7CD0" w14:paraId="6D2EEA27" w14:textId="77777777">
        <w:tblPrEx>
          <w:tblCellMar>
            <w:top w:w="0" w:type="dxa"/>
            <w:bottom w:w="0" w:type="dxa"/>
          </w:tblCellMar>
        </w:tblPrEx>
        <w:trPr>
          <w:cantSplit/>
        </w:trPr>
        <w:tc>
          <w:tcPr>
            <w:tcW w:w="2000" w:type="dxa"/>
            <w:shd w:val="clear" w:color="auto" w:fill="F2F6FB"/>
            <w:tcMar>
              <w:top w:w="70" w:type="dxa"/>
              <w:left w:w="100" w:type="dxa"/>
              <w:bottom w:w="70" w:type="dxa"/>
              <w:right w:w="100" w:type="dxa"/>
            </w:tcMar>
          </w:tcPr>
          <w:p w14:paraId="5520F069" w14:textId="77777777" w:rsidR="002F7CD0" w:rsidRDefault="00000000">
            <w:pPr>
              <w:spacing w:after="30"/>
            </w:pPr>
            <w:r>
              <w:rPr>
                <w:b/>
                <w:bCs/>
                <w:color w:val="000000"/>
                <w:sz w:val="17"/>
                <w:szCs w:val="17"/>
              </w:rPr>
              <w:t>Dec 10, 2026</w:t>
            </w:r>
          </w:p>
        </w:tc>
        <w:tc>
          <w:tcPr>
            <w:tcW w:w="7360" w:type="dxa"/>
            <w:shd w:val="clear" w:color="auto" w:fill="F2F6FB"/>
            <w:tcMar>
              <w:top w:w="70" w:type="dxa"/>
              <w:left w:w="100" w:type="dxa"/>
              <w:bottom w:w="70" w:type="dxa"/>
              <w:right w:w="100" w:type="dxa"/>
            </w:tcMar>
          </w:tcPr>
          <w:p w14:paraId="6BB3D63E" w14:textId="77777777" w:rsidR="002F7CD0" w:rsidRDefault="00000000">
            <w:pPr>
              <w:spacing w:after="30"/>
            </w:pPr>
            <w:r>
              <w:rPr>
                <w:color w:val="000000"/>
                <w:sz w:val="17"/>
                <w:szCs w:val="17"/>
              </w:rPr>
              <w:t>ERCOT audit report on proposed data center projects; decision on lifting the energization pause</w:t>
            </w:r>
          </w:p>
        </w:tc>
      </w:tr>
      <w:tr w:rsidR="002F7CD0" w14:paraId="4CE12E44" w14:textId="77777777">
        <w:tblPrEx>
          <w:tblCellMar>
            <w:top w:w="0" w:type="dxa"/>
            <w:bottom w:w="0" w:type="dxa"/>
          </w:tblCellMar>
        </w:tblPrEx>
        <w:trPr>
          <w:cantSplit/>
        </w:trPr>
        <w:tc>
          <w:tcPr>
            <w:tcW w:w="2000" w:type="dxa"/>
            <w:shd w:val="clear" w:color="auto" w:fill="FFFFFF"/>
            <w:tcMar>
              <w:top w:w="70" w:type="dxa"/>
              <w:left w:w="100" w:type="dxa"/>
              <w:bottom w:w="70" w:type="dxa"/>
              <w:right w:w="100" w:type="dxa"/>
            </w:tcMar>
          </w:tcPr>
          <w:p w14:paraId="3BD9CE15" w14:textId="77777777" w:rsidR="002F7CD0" w:rsidRDefault="00000000">
            <w:pPr>
              <w:spacing w:after="30"/>
            </w:pPr>
            <w:r>
              <w:rPr>
                <w:b/>
                <w:bCs/>
                <w:color w:val="000000"/>
                <w:sz w:val="17"/>
                <w:szCs w:val="17"/>
              </w:rPr>
              <w:t>Dec 31, 2026</w:t>
            </w:r>
          </w:p>
        </w:tc>
        <w:tc>
          <w:tcPr>
            <w:tcW w:w="7360" w:type="dxa"/>
            <w:shd w:val="clear" w:color="auto" w:fill="FFFFFF"/>
            <w:tcMar>
              <w:top w:w="70" w:type="dxa"/>
              <w:left w:w="100" w:type="dxa"/>
              <w:bottom w:w="70" w:type="dxa"/>
              <w:right w:w="100" w:type="dxa"/>
            </w:tcMar>
          </w:tcPr>
          <w:p w14:paraId="2DC3D578" w14:textId="77777777" w:rsidR="002F7CD0" w:rsidRDefault="00000000">
            <w:pPr>
              <w:spacing w:after="30"/>
            </w:pPr>
            <w:r>
              <w:rPr>
                <w:color w:val="000000"/>
                <w:sz w:val="17"/>
                <w:szCs w:val="17"/>
              </w:rPr>
              <w:t>NERC files mandatory computational-load reliability standards and registry criteria with FERC (RD26-7)</w:t>
            </w:r>
          </w:p>
        </w:tc>
      </w:tr>
      <w:tr w:rsidR="002F7CD0" w14:paraId="7318DDAA" w14:textId="77777777">
        <w:tblPrEx>
          <w:tblCellMar>
            <w:top w:w="0" w:type="dxa"/>
            <w:bottom w:w="0" w:type="dxa"/>
          </w:tblCellMar>
        </w:tblPrEx>
        <w:trPr>
          <w:cantSplit/>
        </w:trPr>
        <w:tc>
          <w:tcPr>
            <w:tcW w:w="2000" w:type="dxa"/>
            <w:shd w:val="clear" w:color="auto" w:fill="F2F6FB"/>
            <w:tcMar>
              <w:top w:w="70" w:type="dxa"/>
              <w:left w:w="100" w:type="dxa"/>
              <w:bottom w:w="70" w:type="dxa"/>
              <w:right w:w="100" w:type="dxa"/>
            </w:tcMar>
          </w:tcPr>
          <w:p w14:paraId="75B8C017" w14:textId="77777777" w:rsidR="002F7CD0" w:rsidRDefault="00000000">
            <w:pPr>
              <w:spacing w:after="30"/>
            </w:pPr>
            <w:r>
              <w:rPr>
                <w:b/>
                <w:bCs/>
                <w:color w:val="000000"/>
                <w:sz w:val="17"/>
                <w:szCs w:val="17"/>
              </w:rPr>
              <w:t>Mar 1, 2027</w:t>
            </w:r>
          </w:p>
        </w:tc>
        <w:tc>
          <w:tcPr>
            <w:tcW w:w="7360" w:type="dxa"/>
            <w:shd w:val="clear" w:color="auto" w:fill="F2F6FB"/>
            <w:tcMar>
              <w:top w:w="70" w:type="dxa"/>
              <w:left w:w="100" w:type="dxa"/>
              <w:bottom w:w="70" w:type="dxa"/>
              <w:right w:w="100" w:type="dxa"/>
            </w:tcMar>
          </w:tcPr>
          <w:p w14:paraId="4BAE26F2" w14:textId="77777777" w:rsidR="002F7CD0" w:rsidRDefault="00000000">
            <w:pPr>
              <w:spacing w:after="30"/>
            </w:pPr>
            <w:r>
              <w:rPr>
                <w:color w:val="000000"/>
                <w:sz w:val="17"/>
                <w:szCs w:val="17"/>
              </w:rPr>
              <w:t>NERC Phase II work plan for additional computational-load standards</w:t>
            </w:r>
          </w:p>
        </w:tc>
      </w:tr>
      <w:tr w:rsidR="002F7CD0" w14:paraId="7DE677FD" w14:textId="77777777">
        <w:tblPrEx>
          <w:tblCellMar>
            <w:top w:w="0" w:type="dxa"/>
            <w:bottom w:w="0" w:type="dxa"/>
          </w:tblCellMar>
        </w:tblPrEx>
        <w:trPr>
          <w:cantSplit/>
        </w:trPr>
        <w:tc>
          <w:tcPr>
            <w:tcW w:w="2000" w:type="dxa"/>
            <w:shd w:val="clear" w:color="auto" w:fill="FFFFFF"/>
            <w:tcMar>
              <w:top w:w="70" w:type="dxa"/>
              <w:left w:w="100" w:type="dxa"/>
              <w:bottom w:w="70" w:type="dxa"/>
              <w:right w:w="100" w:type="dxa"/>
            </w:tcMar>
          </w:tcPr>
          <w:p w14:paraId="1BFCB51A" w14:textId="77777777" w:rsidR="002F7CD0" w:rsidRDefault="00000000">
            <w:pPr>
              <w:spacing w:after="30"/>
            </w:pPr>
            <w:r>
              <w:rPr>
                <w:b/>
                <w:bCs/>
                <w:color w:val="000000"/>
                <w:sz w:val="17"/>
                <w:szCs w:val="17"/>
              </w:rPr>
              <w:t>Summer–Fall 2027</w:t>
            </w:r>
          </w:p>
        </w:tc>
        <w:tc>
          <w:tcPr>
            <w:tcW w:w="7360" w:type="dxa"/>
            <w:shd w:val="clear" w:color="auto" w:fill="FFFFFF"/>
            <w:tcMar>
              <w:top w:w="70" w:type="dxa"/>
              <w:left w:w="100" w:type="dxa"/>
              <w:bottom w:w="70" w:type="dxa"/>
              <w:right w:w="100" w:type="dxa"/>
            </w:tcMar>
          </w:tcPr>
          <w:p w14:paraId="48BC611D" w14:textId="77777777" w:rsidR="002F7CD0" w:rsidRDefault="00000000">
            <w:pPr>
              <w:spacing w:after="30"/>
            </w:pPr>
            <w:r>
              <w:rPr>
                <w:color w:val="000000"/>
                <w:sz w:val="17"/>
                <w:szCs w:val="17"/>
              </w:rPr>
              <w:t>ERCOT Batch 1 opens; Batch Zero transmission plan (timing subject to audit)</w:t>
            </w:r>
          </w:p>
        </w:tc>
      </w:tr>
      <w:tr w:rsidR="002F7CD0" w14:paraId="1A1B4FAB" w14:textId="77777777">
        <w:tblPrEx>
          <w:tblCellMar>
            <w:top w:w="0" w:type="dxa"/>
            <w:bottom w:w="0" w:type="dxa"/>
          </w:tblCellMar>
        </w:tblPrEx>
        <w:trPr>
          <w:cantSplit/>
        </w:trPr>
        <w:tc>
          <w:tcPr>
            <w:tcW w:w="2000" w:type="dxa"/>
            <w:shd w:val="clear" w:color="auto" w:fill="F2F6FB"/>
            <w:tcMar>
              <w:top w:w="70" w:type="dxa"/>
              <w:left w:w="100" w:type="dxa"/>
              <w:bottom w:w="70" w:type="dxa"/>
              <w:right w:w="100" w:type="dxa"/>
            </w:tcMar>
          </w:tcPr>
          <w:p w14:paraId="0D9618AE" w14:textId="77777777" w:rsidR="002F7CD0" w:rsidRDefault="00000000">
            <w:pPr>
              <w:spacing w:after="30"/>
            </w:pPr>
            <w:r>
              <w:rPr>
                <w:b/>
                <w:bCs/>
                <w:color w:val="000000"/>
                <w:sz w:val="17"/>
                <w:szCs w:val="17"/>
              </w:rPr>
              <w:t>June 1, 2027</w:t>
            </w:r>
          </w:p>
        </w:tc>
        <w:tc>
          <w:tcPr>
            <w:tcW w:w="7360" w:type="dxa"/>
            <w:shd w:val="clear" w:color="auto" w:fill="F2F6FB"/>
            <w:tcMar>
              <w:top w:w="70" w:type="dxa"/>
              <w:left w:w="100" w:type="dxa"/>
              <w:bottom w:w="70" w:type="dxa"/>
              <w:right w:w="100" w:type="dxa"/>
            </w:tcMar>
          </w:tcPr>
          <w:p w14:paraId="523D70C0" w14:textId="77777777" w:rsidR="002F7CD0" w:rsidRDefault="00000000">
            <w:pPr>
              <w:spacing w:after="30"/>
            </w:pPr>
            <w:r>
              <w:rPr>
                <w:color w:val="000000"/>
                <w:sz w:val="17"/>
                <w:szCs w:val="17"/>
              </w:rPr>
              <w:t>PJM IRAS applicability date for new large loads, if approved</w:t>
            </w:r>
          </w:p>
        </w:tc>
      </w:tr>
    </w:tbl>
    <w:p w14:paraId="24CC0566" w14:textId="77777777" w:rsidR="002F7CD0" w:rsidRDefault="002F7CD0">
      <w:pPr>
        <w:spacing w:after="120"/>
      </w:pPr>
    </w:p>
    <w:p w14:paraId="41F7EF53" w14:textId="77777777" w:rsidR="002F7CD0" w:rsidRDefault="00000000">
      <w:pPr>
        <w:pStyle w:val="Heading1"/>
        <w:pBdr>
          <w:bottom w:val="single" w:sz="6" w:space="4" w:color="2E75B6"/>
        </w:pBdr>
        <w:spacing w:before="320" w:after="140"/>
      </w:pPr>
      <w:r>
        <w:rPr>
          <w:b/>
          <w:bCs/>
          <w:color w:val="1F3864"/>
          <w:sz w:val="30"/>
          <w:szCs w:val="30"/>
        </w:rPr>
        <w:t>The Bottom Line</w:t>
      </w:r>
    </w:p>
    <w:p w14:paraId="5FA511C0" w14:textId="77777777" w:rsidR="002F7CD0" w:rsidRDefault="00000000">
      <w:pPr>
        <w:spacing w:after="140" w:line="288" w:lineRule="auto"/>
      </w:pPr>
      <w:r>
        <w:t>The regulatory arc is clear and appropriate. Large AI data center loads have grown into a class of infrastructure that is, by any functional measure, as consequential to bulk power system reliability as a large wind farm or gas peaker. The rules governing their interconnection are finally starting to reflect that.</w:t>
      </w:r>
    </w:p>
    <w:p w14:paraId="5AA6E158" w14:textId="77777777" w:rsidR="002F7CD0" w:rsidRDefault="00000000">
      <w:pPr>
        <w:spacing w:after="140" w:line="288" w:lineRule="auto"/>
      </w:pPr>
      <w:r>
        <w:t>FERC, DOE, the RTOs and NERC are converging on a framework that borrows heavily — and correctly — from two decades of renewable integration: cluster studies with escalating deposits, participant funding, performance-based accreditation and mandatory data obligations. What is new is the price of speed. Ninety-day studies are now available, but only to loads that bring firm supply, post serious capital, or accept curtailment. Grid physics still does not respect the boundaries of legal jurisdiction — and, increasingly, neither does the bill.</w:t>
      </w:r>
    </w:p>
    <w:p w14:paraId="4F1FCAB4" w14:textId="77777777" w:rsidR="002F7CD0" w:rsidRDefault="00000000">
      <w:pPr>
        <w:spacing w:after="140" w:line="288" w:lineRule="auto"/>
      </w:pPr>
      <w:r>
        <w:t>A common floor across regions will not just help the AI industry plan with confidence. It will ensure the next wave of gigawatt-scale demand arrives as a grid asset, not a liability.</w:t>
      </w:r>
    </w:p>
    <w:p w14:paraId="11B03E26" w14:textId="77777777" w:rsidR="002F7CD0" w:rsidRDefault="00000000">
      <w:pPr>
        <w:pStyle w:val="Heading1"/>
        <w:pBdr>
          <w:bottom w:val="single" w:sz="6" w:space="4" w:color="2E75B6"/>
        </w:pBdr>
        <w:spacing w:before="320" w:after="140"/>
      </w:pPr>
      <w:r>
        <w:rPr>
          <w:b/>
          <w:bCs/>
          <w:color w:val="1F3864"/>
          <w:sz w:val="30"/>
          <w:szCs w:val="30"/>
        </w:rPr>
        <w:t>Water: The Next Interconnection Constraint</w:t>
      </w:r>
    </w:p>
    <w:p w14:paraId="314CFAB8" w14:textId="77777777" w:rsidR="002F7CD0" w:rsidRDefault="00000000">
      <w:pPr>
        <w:spacing w:after="140" w:line="288" w:lineRule="auto"/>
      </w:pPr>
      <w:r>
        <w:t xml:space="preserve">Power is not the only shared resource a hyperscale campus draws on. As data center load has grown, states have turned to water, and the policy arc is following the same path as electricity: first disclosure, then </w:t>
      </w:r>
      <w:proofErr w:type="gramStart"/>
      <w:r>
        <w:t>siting</w:t>
      </w:r>
      <w:proofErr w:type="gramEnd"/>
      <w:r>
        <w:t xml:space="preserve"> conditions, and in a few places, limits on how cooling is done. The trade-off is the reason this belongs </w:t>
      </w:r>
      <w:proofErr w:type="gramStart"/>
      <w:r>
        <w:t>in</w:t>
      </w:r>
      <w:proofErr w:type="gramEnd"/>
      <w:r>
        <w:t xml:space="preserve"> an interconnection article. Closed-loop, dry and air-assisted cooling cut water consumption sharply but raise electricity use, as Georgia EPD noted to legislators this year. A state that forces water-efficient cooling is also, at the margin, adding megawatts to the interconnection request.</w:t>
      </w:r>
    </w:p>
    <w:p w14:paraId="713B202F" w14:textId="77777777" w:rsidR="002F7CD0" w:rsidRDefault="00000000">
      <w:pPr>
        <w:spacing w:after="140" w:line="288" w:lineRule="auto"/>
      </w:pPr>
      <w:r>
        <w:t xml:space="preserve">As of early October 2026, no state imposes a statewide mandate for a specific cooling technology. What exists is a fast-growing set of reporting duties, permit-denial authorities and water-scarcity </w:t>
      </w:r>
      <w:proofErr w:type="gramStart"/>
      <w:r>
        <w:t>siting</w:t>
      </w:r>
      <w:proofErr w:type="gramEnd"/>
      <w:r>
        <w:t xml:space="preserve"> rules, with outright technology mandates proposed but not yet enacted.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0"/>
        <w:gridCol w:w="2150"/>
        <w:gridCol w:w="4100"/>
        <w:gridCol w:w="1860"/>
      </w:tblGrid>
      <w:tr w:rsidR="002F7CD0" w14:paraId="25E77260" w14:textId="77777777">
        <w:tblPrEx>
          <w:tblCellMar>
            <w:top w:w="0" w:type="dxa"/>
            <w:bottom w:w="0" w:type="dxa"/>
          </w:tblCellMar>
        </w:tblPrEx>
        <w:trPr>
          <w:tblHeader/>
        </w:trPr>
        <w:tc>
          <w:tcPr>
            <w:tcW w:w="1250" w:type="dxa"/>
            <w:shd w:val="clear" w:color="auto" w:fill="1F3864"/>
            <w:tcMar>
              <w:top w:w="70" w:type="dxa"/>
              <w:left w:w="100" w:type="dxa"/>
              <w:bottom w:w="70" w:type="dxa"/>
              <w:right w:w="100" w:type="dxa"/>
            </w:tcMar>
          </w:tcPr>
          <w:p w14:paraId="044EA5E3" w14:textId="77777777" w:rsidR="002F7CD0" w:rsidRDefault="00000000">
            <w:pPr>
              <w:spacing w:after="30"/>
            </w:pPr>
            <w:r>
              <w:rPr>
                <w:b/>
                <w:bCs/>
                <w:color w:val="FFFFFF"/>
                <w:sz w:val="18"/>
                <w:szCs w:val="18"/>
              </w:rPr>
              <w:t>State</w:t>
            </w:r>
          </w:p>
        </w:tc>
        <w:tc>
          <w:tcPr>
            <w:tcW w:w="2150" w:type="dxa"/>
            <w:shd w:val="clear" w:color="auto" w:fill="1F3864"/>
            <w:tcMar>
              <w:top w:w="70" w:type="dxa"/>
              <w:left w:w="100" w:type="dxa"/>
              <w:bottom w:w="70" w:type="dxa"/>
              <w:right w:w="100" w:type="dxa"/>
            </w:tcMar>
          </w:tcPr>
          <w:p w14:paraId="583E9DDA" w14:textId="77777777" w:rsidR="002F7CD0" w:rsidRDefault="00000000">
            <w:pPr>
              <w:spacing w:after="30"/>
            </w:pPr>
            <w:r>
              <w:rPr>
                <w:b/>
                <w:bCs/>
                <w:color w:val="FFFFFF"/>
                <w:sz w:val="18"/>
                <w:szCs w:val="18"/>
              </w:rPr>
              <w:t>Instrument and status</w:t>
            </w:r>
          </w:p>
        </w:tc>
        <w:tc>
          <w:tcPr>
            <w:tcW w:w="4100" w:type="dxa"/>
            <w:shd w:val="clear" w:color="auto" w:fill="1F3864"/>
            <w:tcMar>
              <w:top w:w="70" w:type="dxa"/>
              <w:left w:w="100" w:type="dxa"/>
              <w:bottom w:w="70" w:type="dxa"/>
              <w:right w:w="100" w:type="dxa"/>
            </w:tcMar>
          </w:tcPr>
          <w:p w14:paraId="753A8A5C" w14:textId="77777777" w:rsidR="002F7CD0" w:rsidRDefault="00000000">
            <w:pPr>
              <w:spacing w:after="30"/>
            </w:pPr>
            <w:r>
              <w:rPr>
                <w:b/>
                <w:bCs/>
                <w:color w:val="FFFFFF"/>
                <w:sz w:val="18"/>
                <w:szCs w:val="18"/>
              </w:rPr>
              <w:t>What it requires</w:t>
            </w:r>
          </w:p>
        </w:tc>
        <w:tc>
          <w:tcPr>
            <w:tcW w:w="1860" w:type="dxa"/>
            <w:shd w:val="clear" w:color="auto" w:fill="1F3864"/>
            <w:tcMar>
              <w:top w:w="70" w:type="dxa"/>
              <w:left w:w="100" w:type="dxa"/>
              <w:bottom w:w="70" w:type="dxa"/>
              <w:right w:w="100" w:type="dxa"/>
            </w:tcMar>
          </w:tcPr>
          <w:p w14:paraId="61DAE747" w14:textId="77777777" w:rsidR="002F7CD0" w:rsidRDefault="00000000">
            <w:pPr>
              <w:spacing w:after="30"/>
            </w:pPr>
            <w:r>
              <w:rPr>
                <w:b/>
                <w:bCs/>
                <w:color w:val="FFFFFF"/>
                <w:sz w:val="18"/>
                <w:szCs w:val="18"/>
              </w:rPr>
              <w:t>Water-efficient tech mandate?</w:t>
            </w:r>
          </w:p>
        </w:tc>
      </w:tr>
      <w:tr w:rsidR="002F7CD0" w14:paraId="6978C4D1" w14:textId="77777777">
        <w:tblPrEx>
          <w:tblCellMar>
            <w:top w:w="0" w:type="dxa"/>
            <w:bottom w:w="0" w:type="dxa"/>
          </w:tblCellMar>
        </w:tblPrEx>
        <w:trPr>
          <w:cantSplit/>
        </w:trPr>
        <w:tc>
          <w:tcPr>
            <w:tcW w:w="1250" w:type="dxa"/>
            <w:shd w:val="clear" w:color="auto" w:fill="FFFFFF"/>
            <w:tcMar>
              <w:top w:w="70" w:type="dxa"/>
              <w:left w:w="100" w:type="dxa"/>
              <w:bottom w:w="70" w:type="dxa"/>
              <w:right w:w="100" w:type="dxa"/>
            </w:tcMar>
          </w:tcPr>
          <w:p w14:paraId="3B1B8FB6" w14:textId="77777777" w:rsidR="002F7CD0" w:rsidRDefault="00000000">
            <w:pPr>
              <w:spacing w:after="30"/>
            </w:pPr>
            <w:r>
              <w:rPr>
                <w:b/>
                <w:bCs/>
                <w:color w:val="000000"/>
                <w:sz w:val="17"/>
                <w:szCs w:val="17"/>
              </w:rPr>
              <w:t>Virginia</w:t>
            </w:r>
          </w:p>
        </w:tc>
        <w:tc>
          <w:tcPr>
            <w:tcW w:w="2150" w:type="dxa"/>
            <w:shd w:val="clear" w:color="auto" w:fill="FFFFFF"/>
            <w:tcMar>
              <w:top w:w="70" w:type="dxa"/>
              <w:left w:w="100" w:type="dxa"/>
              <w:bottom w:w="70" w:type="dxa"/>
              <w:right w:w="100" w:type="dxa"/>
            </w:tcMar>
          </w:tcPr>
          <w:p w14:paraId="2B6513DB" w14:textId="77777777" w:rsidR="002F7CD0" w:rsidRDefault="00000000">
            <w:pPr>
              <w:spacing w:after="30"/>
            </w:pPr>
            <w:r>
              <w:rPr>
                <w:color w:val="000000"/>
                <w:sz w:val="17"/>
                <w:szCs w:val="17"/>
              </w:rPr>
              <w:t>2026 law (enacted; effective Jan 1, 2027); state budget item; Executive Order 22 (Sept 18, 2026)</w:t>
            </w:r>
          </w:p>
        </w:tc>
        <w:tc>
          <w:tcPr>
            <w:tcW w:w="4100" w:type="dxa"/>
            <w:shd w:val="clear" w:color="auto" w:fill="FFFFFF"/>
            <w:tcMar>
              <w:top w:w="70" w:type="dxa"/>
              <w:left w:w="100" w:type="dxa"/>
              <w:bottom w:w="70" w:type="dxa"/>
              <w:right w:w="100" w:type="dxa"/>
            </w:tcMar>
          </w:tcPr>
          <w:p w14:paraId="5FB7911F" w14:textId="77777777" w:rsidR="002F7CD0" w:rsidRDefault="00000000">
            <w:pPr>
              <w:spacing w:after="30"/>
            </w:pPr>
            <w:r>
              <w:rPr>
                <w:color w:val="000000"/>
                <w:sz w:val="17"/>
                <w:szCs w:val="17"/>
              </w:rPr>
              <w:t>Waterworks report monthly water sales to air-permitted data centers, split potable/non-potable (facility data kept confidential, aggregates public). State Corporation Commission statewide report on data center power, water and backup generation (first due Oct 1, 2026). EO 22 directs DEQ to designate cooling-water-constrained areas, starting with the Eastern Virginia Groundwater Management Area; bans NDAs that hide resource use; water counts in the VA-LEAD incentive score.</w:t>
            </w:r>
          </w:p>
        </w:tc>
        <w:tc>
          <w:tcPr>
            <w:tcW w:w="1860" w:type="dxa"/>
            <w:shd w:val="clear" w:color="auto" w:fill="FFFFFF"/>
            <w:tcMar>
              <w:top w:w="70" w:type="dxa"/>
              <w:left w:w="100" w:type="dxa"/>
              <w:bottom w:w="70" w:type="dxa"/>
              <w:right w:w="100" w:type="dxa"/>
            </w:tcMar>
          </w:tcPr>
          <w:p w14:paraId="204746ED" w14:textId="77777777" w:rsidR="002F7CD0" w:rsidRDefault="00000000">
            <w:pPr>
              <w:spacing w:after="30"/>
            </w:pPr>
            <w:r>
              <w:rPr>
                <w:color w:val="000000"/>
                <w:sz w:val="17"/>
                <w:szCs w:val="17"/>
              </w:rPr>
              <w:t>No. Siting limits in water-stressed areas. A bill tying grants to reclaimed-water use (SB 417) stalled.</w:t>
            </w:r>
          </w:p>
        </w:tc>
      </w:tr>
      <w:tr w:rsidR="002F7CD0" w14:paraId="67222E14" w14:textId="77777777">
        <w:tblPrEx>
          <w:tblCellMar>
            <w:top w:w="0" w:type="dxa"/>
            <w:bottom w:w="0" w:type="dxa"/>
          </w:tblCellMar>
        </w:tblPrEx>
        <w:trPr>
          <w:cantSplit/>
        </w:trPr>
        <w:tc>
          <w:tcPr>
            <w:tcW w:w="1250" w:type="dxa"/>
            <w:shd w:val="clear" w:color="auto" w:fill="F2F6FB"/>
            <w:tcMar>
              <w:top w:w="70" w:type="dxa"/>
              <w:left w:w="100" w:type="dxa"/>
              <w:bottom w:w="70" w:type="dxa"/>
              <w:right w:w="100" w:type="dxa"/>
            </w:tcMar>
          </w:tcPr>
          <w:p w14:paraId="59237425" w14:textId="77777777" w:rsidR="002F7CD0" w:rsidRDefault="00000000">
            <w:pPr>
              <w:spacing w:after="30"/>
            </w:pPr>
            <w:r>
              <w:rPr>
                <w:b/>
                <w:bCs/>
                <w:color w:val="000000"/>
                <w:sz w:val="17"/>
                <w:szCs w:val="17"/>
              </w:rPr>
              <w:t>Texas</w:t>
            </w:r>
          </w:p>
        </w:tc>
        <w:tc>
          <w:tcPr>
            <w:tcW w:w="2150" w:type="dxa"/>
            <w:shd w:val="clear" w:color="auto" w:fill="F2F6FB"/>
            <w:tcMar>
              <w:top w:w="70" w:type="dxa"/>
              <w:left w:w="100" w:type="dxa"/>
              <w:bottom w:w="70" w:type="dxa"/>
              <w:right w:w="100" w:type="dxa"/>
            </w:tcMar>
          </w:tcPr>
          <w:p w14:paraId="402B90B3" w14:textId="77777777" w:rsidR="002F7CD0" w:rsidRDefault="00000000">
            <w:pPr>
              <w:spacing w:after="30"/>
            </w:pPr>
            <w:r>
              <w:rPr>
                <w:color w:val="000000"/>
                <w:sz w:val="17"/>
                <w:szCs w:val="17"/>
              </w:rPr>
              <w:t>Texas Water Code survey duty; Governor’s directives of Sept 14 and Sept 21, 2026</w:t>
            </w:r>
          </w:p>
        </w:tc>
        <w:tc>
          <w:tcPr>
            <w:tcW w:w="4100" w:type="dxa"/>
            <w:shd w:val="clear" w:color="auto" w:fill="F2F6FB"/>
            <w:tcMar>
              <w:top w:w="70" w:type="dxa"/>
              <w:left w:w="100" w:type="dxa"/>
              <w:bottom w:w="70" w:type="dxa"/>
              <w:right w:w="100" w:type="dxa"/>
            </w:tcMar>
          </w:tcPr>
          <w:p w14:paraId="625AF406" w14:textId="77777777" w:rsidR="002F7CD0" w:rsidRDefault="00000000">
            <w:pPr>
              <w:spacing w:after="30"/>
            </w:pPr>
            <w:r>
              <w:rPr>
                <w:color w:val="000000"/>
                <w:sz w:val="17"/>
                <w:szCs w:val="17"/>
              </w:rPr>
              <w:t xml:space="preserve">TWDB must enforce mandatory water use surveys; non-reporting data centers face criminal </w:t>
            </w:r>
            <w:proofErr w:type="gramStart"/>
            <w:r>
              <w:rPr>
                <w:color w:val="000000"/>
                <w:sz w:val="17"/>
                <w:szCs w:val="17"/>
              </w:rPr>
              <w:t>referral</w:t>
            </w:r>
            <w:proofErr w:type="gramEnd"/>
            <w:r>
              <w:rPr>
                <w:color w:val="000000"/>
                <w:sz w:val="17"/>
                <w:szCs w:val="17"/>
              </w:rPr>
              <w:t xml:space="preserve"> and loss of eligibility for TCEQ permits. New TCEQ data center permits paused pending the state audit, which covers water use, sources and water-efficient technologies.</w:t>
            </w:r>
          </w:p>
        </w:tc>
        <w:tc>
          <w:tcPr>
            <w:tcW w:w="1860" w:type="dxa"/>
            <w:shd w:val="clear" w:color="auto" w:fill="F2F6FB"/>
            <w:tcMar>
              <w:top w:w="70" w:type="dxa"/>
              <w:left w:w="100" w:type="dxa"/>
              <w:bottom w:w="70" w:type="dxa"/>
              <w:right w:w="100" w:type="dxa"/>
            </w:tcMar>
          </w:tcPr>
          <w:p w14:paraId="56507194" w14:textId="77777777" w:rsidR="002F7CD0" w:rsidRDefault="00000000">
            <w:pPr>
              <w:spacing w:after="30"/>
            </w:pPr>
            <w:r>
              <w:rPr>
                <w:color w:val="000000"/>
                <w:sz w:val="17"/>
                <w:szCs w:val="17"/>
              </w:rPr>
              <w:t>Not yet. The audit (due ~Dec 10, 2026) may shape future requirements.</w:t>
            </w:r>
          </w:p>
        </w:tc>
      </w:tr>
      <w:tr w:rsidR="002F7CD0" w14:paraId="6335B8B0" w14:textId="77777777">
        <w:tblPrEx>
          <w:tblCellMar>
            <w:top w:w="0" w:type="dxa"/>
            <w:bottom w:w="0" w:type="dxa"/>
          </w:tblCellMar>
        </w:tblPrEx>
        <w:trPr>
          <w:cantSplit/>
        </w:trPr>
        <w:tc>
          <w:tcPr>
            <w:tcW w:w="1250" w:type="dxa"/>
            <w:shd w:val="clear" w:color="auto" w:fill="FFFFFF"/>
            <w:tcMar>
              <w:top w:w="70" w:type="dxa"/>
              <w:left w:w="100" w:type="dxa"/>
              <w:bottom w:w="70" w:type="dxa"/>
              <w:right w:w="100" w:type="dxa"/>
            </w:tcMar>
          </w:tcPr>
          <w:p w14:paraId="254EA403" w14:textId="77777777" w:rsidR="002F7CD0" w:rsidRDefault="00000000">
            <w:pPr>
              <w:spacing w:after="30"/>
            </w:pPr>
            <w:r>
              <w:rPr>
                <w:b/>
                <w:bCs/>
                <w:color w:val="000000"/>
                <w:sz w:val="17"/>
                <w:szCs w:val="17"/>
              </w:rPr>
              <w:t>Pennsylvania</w:t>
            </w:r>
          </w:p>
        </w:tc>
        <w:tc>
          <w:tcPr>
            <w:tcW w:w="2150" w:type="dxa"/>
            <w:shd w:val="clear" w:color="auto" w:fill="FFFFFF"/>
            <w:tcMar>
              <w:top w:w="70" w:type="dxa"/>
              <w:left w:w="100" w:type="dxa"/>
              <w:bottom w:w="70" w:type="dxa"/>
              <w:right w:w="100" w:type="dxa"/>
            </w:tcMar>
          </w:tcPr>
          <w:p w14:paraId="54F6CC66" w14:textId="77777777" w:rsidR="002F7CD0" w:rsidRDefault="00000000">
            <w:pPr>
              <w:spacing w:after="30"/>
            </w:pPr>
            <w:r>
              <w:rPr>
                <w:color w:val="000000"/>
                <w:sz w:val="17"/>
                <w:szCs w:val="17"/>
              </w:rPr>
              <w:t>Executive order (Aug 20, 2026) and 2026–27 budget; HB 2246 and HB 2150 pending</w:t>
            </w:r>
          </w:p>
        </w:tc>
        <w:tc>
          <w:tcPr>
            <w:tcW w:w="4100" w:type="dxa"/>
            <w:shd w:val="clear" w:color="auto" w:fill="FFFFFF"/>
            <w:tcMar>
              <w:top w:w="70" w:type="dxa"/>
              <w:left w:w="100" w:type="dxa"/>
              <w:bottom w:w="70" w:type="dxa"/>
              <w:right w:w="100" w:type="dxa"/>
            </w:tcMar>
          </w:tcPr>
          <w:p w14:paraId="1B0C3F92" w14:textId="77777777" w:rsidR="002F7CD0" w:rsidRDefault="00000000">
            <w:pPr>
              <w:spacing w:after="30"/>
            </w:pPr>
            <w:r>
              <w:rPr>
                <w:color w:val="000000"/>
                <w:sz w:val="17"/>
                <w:szCs w:val="17"/>
              </w:rPr>
              <w:t>Operating data centers report annual water and energy use, next-year projections and protective steps to DEP, starting 2027. HB 2246 (committee-passed Mar 2026) would require pre-operation water impact reports and let DEP reject harmful projects. River basin commissions (Susquehanna, Delaware) already approve consumptive use.</w:t>
            </w:r>
          </w:p>
        </w:tc>
        <w:tc>
          <w:tcPr>
            <w:tcW w:w="1860" w:type="dxa"/>
            <w:shd w:val="clear" w:color="auto" w:fill="FFFFFF"/>
            <w:tcMar>
              <w:top w:w="70" w:type="dxa"/>
              <w:left w:w="100" w:type="dxa"/>
              <w:bottom w:w="70" w:type="dxa"/>
              <w:right w:w="100" w:type="dxa"/>
            </w:tcMar>
          </w:tcPr>
          <w:p w14:paraId="3FEF87B3" w14:textId="77777777" w:rsidR="002F7CD0" w:rsidRDefault="00000000">
            <w:pPr>
              <w:spacing w:after="30"/>
            </w:pPr>
            <w:r>
              <w:rPr>
                <w:color w:val="000000"/>
                <w:sz w:val="17"/>
                <w:szCs w:val="17"/>
              </w:rPr>
              <w:t>No.</w:t>
            </w:r>
          </w:p>
        </w:tc>
      </w:tr>
      <w:tr w:rsidR="002F7CD0" w14:paraId="1C671580" w14:textId="77777777">
        <w:tblPrEx>
          <w:tblCellMar>
            <w:top w:w="0" w:type="dxa"/>
            <w:bottom w:w="0" w:type="dxa"/>
          </w:tblCellMar>
        </w:tblPrEx>
        <w:trPr>
          <w:cantSplit/>
        </w:trPr>
        <w:tc>
          <w:tcPr>
            <w:tcW w:w="1250" w:type="dxa"/>
            <w:shd w:val="clear" w:color="auto" w:fill="F2F6FB"/>
            <w:tcMar>
              <w:top w:w="70" w:type="dxa"/>
              <w:left w:w="100" w:type="dxa"/>
              <w:bottom w:w="70" w:type="dxa"/>
              <w:right w:w="100" w:type="dxa"/>
            </w:tcMar>
          </w:tcPr>
          <w:p w14:paraId="1EFB2FE6" w14:textId="77777777" w:rsidR="002F7CD0" w:rsidRDefault="00000000">
            <w:pPr>
              <w:spacing w:after="30"/>
            </w:pPr>
            <w:r>
              <w:rPr>
                <w:b/>
                <w:bCs/>
                <w:color w:val="000000"/>
                <w:sz w:val="17"/>
                <w:szCs w:val="17"/>
              </w:rPr>
              <w:t>Kentucky</w:t>
            </w:r>
          </w:p>
        </w:tc>
        <w:tc>
          <w:tcPr>
            <w:tcW w:w="2150" w:type="dxa"/>
            <w:shd w:val="clear" w:color="auto" w:fill="F2F6FB"/>
            <w:tcMar>
              <w:top w:w="70" w:type="dxa"/>
              <w:left w:w="100" w:type="dxa"/>
              <w:bottom w:w="70" w:type="dxa"/>
              <w:right w:w="100" w:type="dxa"/>
            </w:tcMar>
          </w:tcPr>
          <w:p w14:paraId="25695CFA" w14:textId="77777777" w:rsidR="002F7CD0" w:rsidRDefault="00000000">
            <w:pPr>
              <w:spacing w:after="30"/>
            </w:pPr>
            <w:r>
              <w:rPr>
                <w:color w:val="000000"/>
                <w:sz w:val="17"/>
                <w:szCs w:val="17"/>
              </w:rPr>
              <w:t>Executive Order 2026-494 (Aug 6, 2026); HB 856 proposed</w:t>
            </w:r>
          </w:p>
        </w:tc>
        <w:tc>
          <w:tcPr>
            <w:tcW w:w="4100" w:type="dxa"/>
            <w:shd w:val="clear" w:color="auto" w:fill="F2F6FB"/>
            <w:tcMar>
              <w:top w:w="70" w:type="dxa"/>
              <w:left w:w="100" w:type="dxa"/>
              <w:bottom w:w="70" w:type="dxa"/>
              <w:right w:w="100" w:type="dxa"/>
            </w:tcMar>
          </w:tcPr>
          <w:p w14:paraId="5620B52A" w14:textId="77777777" w:rsidR="002F7CD0" w:rsidRDefault="00000000">
            <w:pPr>
              <w:spacing w:after="30"/>
            </w:pPr>
            <w:r>
              <w:rPr>
                <w:color w:val="000000"/>
                <w:sz w:val="17"/>
                <w:szCs w:val="17"/>
              </w:rPr>
              <w:t>Energy and Environment Cabinet to deny permits where a data center would harm water use, quality or supply. HB 856 would require a water feasibility study before operation and annual water reporting.</w:t>
            </w:r>
          </w:p>
        </w:tc>
        <w:tc>
          <w:tcPr>
            <w:tcW w:w="1860" w:type="dxa"/>
            <w:shd w:val="clear" w:color="auto" w:fill="F2F6FB"/>
            <w:tcMar>
              <w:top w:w="70" w:type="dxa"/>
              <w:left w:w="100" w:type="dxa"/>
              <w:bottom w:w="70" w:type="dxa"/>
              <w:right w:w="100" w:type="dxa"/>
            </w:tcMar>
          </w:tcPr>
          <w:p w14:paraId="3FD2FE00" w14:textId="77777777" w:rsidR="002F7CD0" w:rsidRDefault="00000000">
            <w:pPr>
              <w:spacing w:after="30"/>
            </w:pPr>
            <w:r>
              <w:rPr>
                <w:color w:val="000000"/>
                <w:sz w:val="17"/>
                <w:szCs w:val="17"/>
              </w:rPr>
              <w:t>No.</w:t>
            </w:r>
          </w:p>
        </w:tc>
      </w:tr>
      <w:tr w:rsidR="002F7CD0" w14:paraId="183841F7" w14:textId="77777777">
        <w:tblPrEx>
          <w:tblCellMar>
            <w:top w:w="0" w:type="dxa"/>
            <w:bottom w:w="0" w:type="dxa"/>
          </w:tblCellMar>
        </w:tblPrEx>
        <w:trPr>
          <w:cantSplit/>
        </w:trPr>
        <w:tc>
          <w:tcPr>
            <w:tcW w:w="1250" w:type="dxa"/>
            <w:shd w:val="clear" w:color="auto" w:fill="FFFFFF"/>
            <w:tcMar>
              <w:top w:w="70" w:type="dxa"/>
              <w:left w:w="100" w:type="dxa"/>
              <w:bottom w:w="70" w:type="dxa"/>
              <w:right w:w="100" w:type="dxa"/>
            </w:tcMar>
          </w:tcPr>
          <w:p w14:paraId="39B09EA0" w14:textId="77777777" w:rsidR="002F7CD0" w:rsidRDefault="00000000">
            <w:pPr>
              <w:spacing w:after="30"/>
            </w:pPr>
            <w:r>
              <w:rPr>
                <w:b/>
                <w:bCs/>
                <w:color w:val="000000"/>
                <w:sz w:val="17"/>
                <w:szCs w:val="17"/>
              </w:rPr>
              <w:t>Georgia</w:t>
            </w:r>
          </w:p>
        </w:tc>
        <w:tc>
          <w:tcPr>
            <w:tcW w:w="2150" w:type="dxa"/>
            <w:shd w:val="clear" w:color="auto" w:fill="FFFFFF"/>
            <w:tcMar>
              <w:top w:w="70" w:type="dxa"/>
              <w:left w:w="100" w:type="dxa"/>
              <w:bottom w:w="70" w:type="dxa"/>
              <w:right w:w="100" w:type="dxa"/>
            </w:tcMar>
          </w:tcPr>
          <w:p w14:paraId="47C232C5" w14:textId="77777777" w:rsidR="002F7CD0" w:rsidRDefault="00000000">
            <w:pPr>
              <w:spacing w:after="30"/>
            </w:pPr>
            <w:r>
              <w:rPr>
                <w:color w:val="000000"/>
                <w:sz w:val="17"/>
                <w:szCs w:val="17"/>
              </w:rPr>
              <w:t>No water statute; 2026 session bills failed</w:t>
            </w:r>
          </w:p>
        </w:tc>
        <w:tc>
          <w:tcPr>
            <w:tcW w:w="4100" w:type="dxa"/>
            <w:shd w:val="clear" w:color="auto" w:fill="FFFFFF"/>
            <w:tcMar>
              <w:top w:w="70" w:type="dxa"/>
              <w:left w:w="100" w:type="dxa"/>
              <w:bottom w:w="70" w:type="dxa"/>
              <w:right w:w="100" w:type="dxa"/>
            </w:tcMar>
          </w:tcPr>
          <w:p w14:paraId="002296D2" w14:textId="77777777" w:rsidR="002F7CD0" w:rsidRDefault="00000000">
            <w:pPr>
              <w:spacing w:after="30"/>
            </w:pPr>
            <w:r>
              <w:rPr>
                <w:color w:val="000000"/>
                <w:sz w:val="17"/>
                <w:szCs w:val="17"/>
              </w:rPr>
              <w:t>Bills on data center transparency, including a ban on local NDAs hiding energy and water use, did not pass. EPD oversees supply through utilities’ withdrawal permits and regional water plans.</w:t>
            </w:r>
          </w:p>
        </w:tc>
        <w:tc>
          <w:tcPr>
            <w:tcW w:w="1860" w:type="dxa"/>
            <w:shd w:val="clear" w:color="auto" w:fill="FFFFFF"/>
            <w:tcMar>
              <w:top w:w="70" w:type="dxa"/>
              <w:left w:w="100" w:type="dxa"/>
              <w:bottom w:w="70" w:type="dxa"/>
              <w:right w:w="100" w:type="dxa"/>
            </w:tcMar>
          </w:tcPr>
          <w:p w14:paraId="4A00B54E" w14:textId="77777777" w:rsidR="002F7CD0" w:rsidRDefault="00000000">
            <w:pPr>
              <w:spacing w:after="30"/>
            </w:pPr>
            <w:r>
              <w:rPr>
                <w:color w:val="000000"/>
                <w:sz w:val="17"/>
                <w:szCs w:val="17"/>
              </w:rPr>
              <w:t>No.</w:t>
            </w:r>
          </w:p>
        </w:tc>
      </w:tr>
      <w:tr w:rsidR="002F7CD0" w14:paraId="55C3FB05" w14:textId="77777777">
        <w:tblPrEx>
          <w:tblCellMar>
            <w:top w:w="0" w:type="dxa"/>
            <w:bottom w:w="0" w:type="dxa"/>
          </w:tblCellMar>
        </w:tblPrEx>
        <w:trPr>
          <w:cantSplit/>
        </w:trPr>
        <w:tc>
          <w:tcPr>
            <w:tcW w:w="1250" w:type="dxa"/>
            <w:shd w:val="clear" w:color="auto" w:fill="F2F6FB"/>
            <w:tcMar>
              <w:top w:w="70" w:type="dxa"/>
              <w:left w:w="100" w:type="dxa"/>
              <w:bottom w:w="70" w:type="dxa"/>
              <w:right w:w="100" w:type="dxa"/>
            </w:tcMar>
          </w:tcPr>
          <w:p w14:paraId="41474D50" w14:textId="77777777" w:rsidR="002F7CD0" w:rsidRDefault="00000000">
            <w:pPr>
              <w:spacing w:after="30"/>
            </w:pPr>
            <w:r>
              <w:rPr>
                <w:b/>
                <w:bCs/>
                <w:color w:val="000000"/>
                <w:sz w:val="17"/>
                <w:szCs w:val="17"/>
              </w:rPr>
              <w:t>California</w:t>
            </w:r>
          </w:p>
        </w:tc>
        <w:tc>
          <w:tcPr>
            <w:tcW w:w="2150" w:type="dxa"/>
            <w:shd w:val="clear" w:color="auto" w:fill="F2F6FB"/>
            <w:tcMar>
              <w:top w:w="70" w:type="dxa"/>
              <w:left w:w="100" w:type="dxa"/>
              <w:bottom w:w="70" w:type="dxa"/>
              <w:right w:w="100" w:type="dxa"/>
            </w:tcMar>
          </w:tcPr>
          <w:p w14:paraId="676DD2D2" w14:textId="77777777" w:rsidR="002F7CD0" w:rsidRDefault="00000000">
            <w:pPr>
              <w:spacing w:after="30"/>
            </w:pPr>
            <w:r>
              <w:rPr>
                <w:color w:val="000000"/>
                <w:sz w:val="17"/>
                <w:szCs w:val="17"/>
              </w:rPr>
              <w:t>Seven-bill package signed Sept 21, 2026 (incl. AB 1577, AB 2469, AB 2619)</w:t>
            </w:r>
          </w:p>
        </w:tc>
        <w:tc>
          <w:tcPr>
            <w:tcW w:w="4100" w:type="dxa"/>
            <w:shd w:val="clear" w:color="auto" w:fill="F2F6FB"/>
            <w:tcMar>
              <w:top w:w="70" w:type="dxa"/>
              <w:left w:w="100" w:type="dxa"/>
              <w:bottom w:w="70" w:type="dxa"/>
              <w:right w:w="100" w:type="dxa"/>
            </w:tcMar>
          </w:tcPr>
          <w:p w14:paraId="7B3DBD8B" w14:textId="77777777" w:rsidR="002F7CD0" w:rsidRDefault="00000000">
            <w:pPr>
              <w:spacing w:after="30"/>
            </w:pPr>
            <w:r>
              <w:rPr>
                <w:color w:val="000000"/>
                <w:sz w:val="17"/>
                <w:szCs w:val="17"/>
              </w:rPr>
              <w:t xml:space="preserve">Proposed data centers must give local governments and water suppliers information on water consumption, available supply, efficiency measures and drought planning; impacts on local supply must be evaluated; water-system upgrades are </w:t>
            </w:r>
            <w:proofErr w:type="gramStart"/>
            <w:r>
              <w:rPr>
                <w:color w:val="000000"/>
                <w:sz w:val="17"/>
                <w:szCs w:val="17"/>
              </w:rPr>
              <w:t>paid</w:t>
            </w:r>
            <w:proofErr w:type="gramEnd"/>
            <w:r>
              <w:rPr>
                <w:color w:val="000000"/>
                <w:sz w:val="17"/>
                <w:szCs w:val="17"/>
              </w:rPr>
              <w:t xml:space="preserve"> by the project. AB 1577 adds state reporting.</w:t>
            </w:r>
          </w:p>
        </w:tc>
        <w:tc>
          <w:tcPr>
            <w:tcW w:w="1860" w:type="dxa"/>
            <w:shd w:val="clear" w:color="auto" w:fill="F2F6FB"/>
            <w:tcMar>
              <w:top w:w="70" w:type="dxa"/>
              <w:left w:w="100" w:type="dxa"/>
              <w:bottom w:w="70" w:type="dxa"/>
              <w:right w:w="100" w:type="dxa"/>
            </w:tcMar>
          </w:tcPr>
          <w:p w14:paraId="0A9D75FC" w14:textId="77777777" w:rsidR="002F7CD0" w:rsidRDefault="00000000">
            <w:pPr>
              <w:spacing w:after="30"/>
            </w:pPr>
            <w:r>
              <w:rPr>
                <w:color w:val="000000"/>
                <w:sz w:val="17"/>
                <w:szCs w:val="17"/>
              </w:rPr>
              <w:t>Disclosure of efficiency measures required; technology not mandated.</w:t>
            </w:r>
          </w:p>
        </w:tc>
      </w:tr>
      <w:tr w:rsidR="002F7CD0" w14:paraId="17FB6ED2" w14:textId="77777777">
        <w:tblPrEx>
          <w:tblCellMar>
            <w:top w:w="0" w:type="dxa"/>
            <w:bottom w:w="0" w:type="dxa"/>
          </w:tblCellMar>
        </w:tblPrEx>
        <w:trPr>
          <w:cantSplit/>
        </w:trPr>
        <w:tc>
          <w:tcPr>
            <w:tcW w:w="1250" w:type="dxa"/>
            <w:shd w:val="clear" w:color="auto" w:fill="FFFFFF"/>
            <w:tcMar>
              <w:top w:w="70" w:type="dxa"/>
              <w:left w:w="100" w:type="dxa"/>
              <w:bottom w:w="70" w:type="dxa"/>
              <w:right w:w="100" w:type="dxa"/>
            </w:tcMar>
          </w:tcPr>
          <w:p w14:paraId="5A81CAAD" w14:textId="77777777" w:rsidR="002F7CD0" w:rsidRDefault="00000000">
            <w:pPr>
              <w:spacing w:after="30"/>
            </w:pPr>
            <w:r>
              <w:rPr>
                <w:b/>
                <w:bCs/>
                <w:color w:val="000000"/>
                <w:sz w:val="17"/>
                <w:szCs w:val="17"/>
              </w:rPr>
              <w:t>New Mexico</w:t>
            </w:r>
          </w:p>
        </w:tc>
        <w:tc>
          <w:tcPr>
            <w:tcW w:w="2150" w:type="dxa"/>
            <w:shd w:val="clear" w:color="auto" w:fill="FFFFFF"/>
            <w:tcMar>
              <w:top w:w="70" w:type="dxa"/>
              <w:left w:w="100" w:type="dxa"/>
              <w:bottom w:w="70" w:type="dxa"/>
              <w:right w:w="100" w:type="dxa"/>
            </w:tcMar>
          </w:tcPr>
          <w:p w14:paraId="40494336" w14:textId="77777777" w:rsidR="002F7CD0" w:rsidRDefault="00000000">
            <w:pPr>
              <w:spacing w:after="30"/>
            </w:pPr>
            <w:r>
              <w:rPr>
                <w:color w:val="000000"/>
                <w:sz w:val="17"/>
                <w:szCs w:val="17"/>
              </w:rPr>
              <w:t>No statute; moratorium bill planned for 2027 session</w:t>
            </w:r>
          </w:p>
        </w:tc>
        <w:tc>
          <w:tcPr>
            <w:tcW w:w="4100" w:type="dxa"/>
            <w:shd w:val="clear" w:color="auto" w:fill="FFFFFF"/>
            <w:tcMar>
              <w:top w:w="70" w:type="dxa"/>
              <w:left w:w="100" w:type="dxa"/>
              <w:bottom w:w="70" w:type="dxa"/>
              <w:right w:w="100" w:type="dxa"/>
            </w:tcMar>
          </w:tcPr>
          <w:p w14:paraId="55A44BD4" w14:textId="77777777" w:rsidR="002F7CD0" w:rsidRDefault="00000000">
            <w:pPr>
              <w:spacing w:after="30"/>
            </w:pPr>
            <w:r>
              <w:rPr>
                <w:color w:val="000000"/>
                <w:sz w:val="17"/>
                <w:szCs w:val="17"/>
              </w:rPr>
              <w:t>Controversy over water allocation for the Project Jupiter campus; four legislators propose a statewide pause on large data centers while evaluation frameworks are built.</w:t>
            </w:r>
          </w:p>
        </w:tc>
        <w:tc>
          <w:tcPr>
            <w:tcW w:w="1860" w:type="dxa"/>
            <w:shd w:val="clear" w:color="auto" w:fill="FFFFFF"/>
            <w:tcMar>
              <w:top w:w="70" w:type="dxa"/>
              <w:left w:w="100" w:type="dxa"/>
              <w:bottom w:w="70" w:type="dxa"/>
              <w:right w:w="100" w:type="dxa"/>
            </w:tcMar>
          </w:tcPr>
          <w:p w14:paraId="1AFDDC5C" w14:textId="77777777" w:rsidR="002F7CD0" w:rsidRDefault="00000000">
            <w:pPr>
              <w:spacing w:after="30"/>
            </w:pPr>
            <w:r>
              <w:rPr>
                <w:color w:val="000000"/>
                <w:sz w:val="17"/>
                <w:szCs w:val="17"/>
              </w:rPr>
              <w:t>No.</w:t>
            </w:r>
          </w:p>
        </w:tc>
      </w:tr>
      <w:tr w:rsidR="002F7CD0" w14:paraId="3C079FB2" w14:textId="77777777">
        <w:tblPrEx>
          <w:tblCellMar>
            <w:top w:w="0" w:type="dxa"/>
            <w:bottom w:w="0" w:type="dxa"/>
          </w:tblCellMar>
        </w:tblPrEx>
        <w:trPr>
          <w:cantSplit/>
        </w:trPr>
        <w:tc>
          <w:tcPr>
            <w:tcW w:w="1250" w:type="dxa"/>
            <w:shd w:val="clear" w:color="auto" w:fill="F2F6FB"/>
            <w:tcMar>
              <w:top w:w="70" w:type="dxa"/>
              <w:left w:w="100" w:type="dxa"/>
              <w:bottom w:w="70" w:type="dxa"/>
              <w:right w:w="100" w:type="dxa"/>
            </w:tcMar>
          </w:tcPr>
          <w:p w14:paraId="23D72703" w14:textId="77777777" w:rsidR="002F7CD0" w:rsidRDefault="00000000">
            <w:pPr>
              <w:spacing w:after="30"/>
            </w:pPr>
            <w:r>
              <w:rPr>
                <w:b/>
                <w:bCs/>
                <w:color w:val="000000"/>
                <w:sz w:val="17"/>
                <w:szCs w:val="17"/>
              </w:rPr>
              <w:t>Minnesota</w:t>
            </w:r>
          </w:p>
        </w:tc>
        <w:tc>
          <w:tcPr>
            <w:tcW w:w="2150" w:type="dxa"/>
            <w:shd w:val="clear" w:color="auto" w:fill="F2F6FB"/>
            <w:tcMar>
              <w:top w:w="70" w:type="dxa"/>
              <w:left w:w="100" w:type="dxa"/>
              <w:bottom w:w="70" w:type="dxa"/>
              <w:right w:w="100" w:type="dxa"/>
            </w:tcMar>
          </w:tcPr>
          <w:p w14:paraId="100064D3" w14:textId="77777777" w:rsidR="002F7CD0" w:rsidRDefault="00000000">
            <w:pPr>
              <w:spacing w:after="30"/>
            </w:pPr>
            <w:r>
              <w:rPr>
                <w:color w:val="000000"/>
                <w:sz w:val="17"/>
                <w:szCs w:val="17"/>
              </w:rPr>
              <w:t>2025 law (HF 16, enacted)</w:t>
            </w:r>
          </w:p>
        </w:tc>
        <w:tc>
          <w:tcPr>
            <w:tcW w:w="4100" w:type="dxa"/>
            <w:shd w:val="clear" w:color="auto" w:fill="F2F6FB"/>
            <w:tcMar>
              <w:top w:w="70" w:type="dxa"/>
              <w:left w:w="100" w:type="dxa"/>
              <w:bottom w:w="70" w:type="dxa"/>
              <w:right w:w="100" w:type="dxa"/>
            </w:tcMar>
          </w:tcPr>
          <w:p w14:paraId="7A28B81C" w14:textId="77777777" w:rsidR="002F7CD0" w:rsidRDefault="00000000">
            <w:pPr>
              <w:spacing w:after="30"/>
            </w:pPr>
            <w:r>
              <w:rPr>
                <w:color w:val="000000"/>
                <w:sz w:val="17"/>
                <w:szCs w:val="17"/>
              </w:rPr>
              <w:t>Facilities using &gt;100 million gallons/year must engage DNR early on supply adequacy and consider conservation technology such as closed-loop cooling; detailed water use reporting.</w:t>
            </w:r>
          </w:p>
        </w:tc>
        <w:tc>
          <w:tcPr>
            <w:tcW w:w="1860" w:type="dxa"/>
            <w:shd w:val="clear" w:color="auto" w:fill="F2F6FB"/>
            <w:tcMar>
              <w:top w:w="70" w:type="dxa"/>
              <w:left w:w="100" w:type="dxa"/>
              <w:bottom w:w="70" w:type="dxa"/>
              <w:right w:w="100" w:type="dxa"/>
            </w:tcMar>
          </w:tcPr>
          <w:p w14:paraId="072BF2A0" w14:textId="77777777" w:rsidR="002F7CD0" w:rsidRDefault="00000000">
            <w:pPr>
              <w:spacing w:after="30"/>
            </w:pPr>
            <w:r>
              <w:rPr>
                <w:color w:val="000000"/>
                <w:sz w:val="17"/>
                <w:szCs w:val="17"/>
              </w:rPr>
              <w:t>Must consider, not adopt.</w:t>
            </w:r>
          </w:p>
        </w:tc>
      </w:tr>
      <w:tr w:rsidR="002F7CD0" w14:paraId="3388A079" w14:textId="77777777">
        <w:tblPrEx>
          <w:tblCellMar>
            <w:top w:w="0" w:type="dxa"/>
            <w:bottom w:w="0" w:type="dxa"/>
          </w:tblCellMar>
        </w:tblPrEx>
        <w:trPr>
          <w:cantSplit/>
        </w:trPr>
        <w:tc>
          <w:tcPr>
            <w:tcW w:w="1250" w:type="dxa"/>
            <w:shd w:val="clear" w:color="auto" w:fill="FFFFFF"/>
            <w:tcMar>
              <w:top w:w="70" w:type="dxa"/>
              <w:left w:w="100" w:type="dxa"/>
              <w:bottom w:w="70" w:type="dxa"/>
              <w:right w:w="100" w:type="dxa"/>
            </w:tcMar>
          </w:tcPr>
          <w:p w14:paraId="0B8632A7" w14:textId="77777777" w:rsidR="002F7CD0" w:rsidRDefault="00000000">
            <w:pPr>
              <w:spacing w:after="30"/>
            </w:pPr>
            <w:r>
              <w:rPr>
                <w:b/>
                <w:bCs/>
                <w:color w:val="000000"/>
                <w:sz w:val="17"/>
                <w:szCs w:val="17"/>
              </w:rPr>
              <w:t>Arizona (Tucson)</w:t>
            </w:r>
          </w:p>
        </w:tc>
        <w:tc>
          <w:tcPr>
            <w:tcW w:w="2150" w:type="dxa"/>
            <w:shd w:val="clear" w:color="auto" w:fill="FFFFFF"/>
            <w:tcMar>
              <w:top w:w="70" w:type="dxa"/>
              <w:left w:w="100" w:type="dxa"/>
              <w:bottom w:w="70" w:type="dxa"/>
              <w:right w:w="100" w:type="dxa"/>
            </w:tcMar>
          </w:tcPr>
          <w:p w14:paraId="3651F2FB" w14:textId="77777777" w:rsidR="002F7CD0" w:rsidRDefault="00000000">
            <w:pPr>
              <w:spacing w:after="30"/>
            </w:pPr>
            <w:r>
              <w:rPr>
                <w:color w:val="000000"/>
                <w:sz w:val="17"/>
                <w:szCs w:val="17"/>
              </w:rPr>
              <w:t>City ordinances (Aug 2026)</w:t>
            </w:r>
          </w:p>
        </w:tc>
        <w:tc>
          <w:tcPr>
            <w:tcW w:w="4100" w:type="dxa"/>
            <w:shd w:val="clear" w:color="auto" w:fill="FFFFFF"/>
            <w:tcMar>
              <w:top w:w="70" w:type="dxa"/>
              <w:left w:w="100" w:type="dxa"/>
              <w:bottom w:w="70" w:type="dxa"/>
              <w:right w:w="100" w:type="dxa"/>
            </w:tcMar>
          </w:tcPr>
          <w:p w14:paraId="00E35783" w14:textId="77777777" w:rsidR="002F7CD0" w:rsidRDefault="00000000">
            <w:pPr>
              <w:spacing w:after="30"/>
            </w:pPr>
            <w:r>
              <w:rPr>
                <w:color w:val="000000"/>
                <w:sz w:val="17"/>
                <w:szCs w:val="17"/>
              </w:rPr>
              <w:t>Customers above ~7.48 million gallons/month need council approval and proof of supply; potable water for cooling prohibited unless approved under that ordinance.</w:t>
            </w:r>
          </w:p>
        </w:tc>
        <w:tc>
          <w:tcPr>
            <w:tcW w:w="1860" w:type="dxa"/>
            <w:shd w:val="clear" w:color="auto" w:fill="FFFFFF"/>
            <w:tcMar>
              <w:top w:w="70" w:type="dxa"/>
              <w:left w:w="100" w:type="dxa"/>
              <w:bottom w:w="70" w:type="dxa"/>
              <w:right w:w="100" w:type="dxa"/>
            </w:tcMar>
          </w:tcPr>
          <w:p w14:paraId="2CA0E547" w14:textId="77777777" w:rsidR="002F7CD0" w:rsidRDefault="00000000">
            <w:pPr>
              <w:spacing w:after="30"/>
            </w:pPr>
            <w:r>
              <w:rPr>
                <w:color w:val="000000"/>
                <w:sz w:val="17"/>
                <w:szCs w:val="17"/>
              </w:rPr>
              <w:t>Closest to a mandate: potable cooling ban.</w:t>
            </w:r>
          </w:p>
        </w:tc>
      </w:tr>
    </w:tbl>
    <w:p w14:paraId="1B811278" w14:textId="77777777" w:rsidR="002F7CD0" w:rsidRDefault="002F7CD0">
      <w:pPr>
        <w:spacing w:after="120"/>
      </w:pPr>
    </w:p>
    <w:p w14:paraId="41AE52E2" w14:textId="77777777" w:rsidR="002F7CD0" w:rsidRDefault="00000000">
      <w:pPr>
        <w:pStyle w:val="Heading2"/>
        <w:spacing w:before="220" w:after="100"/>
      </w:pPr>
      <w:r>
        <w:rPr>
          <w:b/>
          <w:bCs/>
          <w:color w:val="2E75B6"/>
          <w:sz w:val="25"/>
          <w:szCs w:val="25"/>
        </w:rPr>
        <w:t>Proposals that would mandate technology</w:t>
      </w:r>
    </w:p>
    <w:p w14:paraId="57AE7CA8" w14:textId="77777777" w:rsidR="002F7CD0" w:rsidRDefault="00000000">
      <w:pPr>
        <w:pStyle w:val="ListParagraph"/>
        <w:numPr>
          <w:ilvl w:val="0"/>
          <w:numId w:val="2"/>
        </w:numPr>
        <w:spacing w:after="90" w:line="276" w:lineRule="auto"/>
      </w:pPr>
      <w:r>
        <w:rPr>
          <w:b/>
          <w:bCs/>
        </w:rPr>
        <w:t xml:space="preserve">South Carolina (HB 4583): </w:t>
      </w:r>
      <w:r>
        <w:t>closed-loop cooling with zero net water withdrawal and zero net wastewater discharge; bars use of groundwater and municipal water.</w:t>
      </w:r>
    </w:p>
    <w:p w14:paraId="5BF12560" w14:textId="77777777" w:rsidR="002F7CD0" w:rsidRDefault="00000000">
      <w:pPr>
        <w:pStyle w:val="ListParagraph"/>
        <w:numPr>
          <w:ilvl w:val="0"/>
          <w:numId w:val="2"/>
        </w:numPr>
        <w:spacing w:after="90" w:line="276" w:lineRule="auto"/>
      </w:pPr>
      <w:r>
        <w:rPr>
          <w:b/>
          <w:bCs/>
        </w:rPr>
        <w:t xml:space="preserve">Kansas (SB 400): </w:t>
      </w:r>
      <w:r>
        <w:t>closed-loop cooling mandate, enforceable through litigation.</w:t>
      </w:r>
    </w:p>
    <w:p w14:paraId="4D33C6BD" w14:textId="77777777" w:rsidR="002F7CD0" w:rsidRDefault="00000000">
      <w:pPr>
        <w:pStyle w:val="ListParagraph"/>
        <w:numPr>
          <w:ilvl w:val="0"/>
          <w:numId w:val="2"/>
        </w:numPr>
        <w:spacing w:after="90" w:line="276" w:lineRule="auto"/>
      </w:pPr>
      <w:r>
        <w:rPr>
          <w:b/>
          <w:bCs/>
        </w:rPr>
        <w:t xml:space="preserve">Iowa (HF 2447, HF 2261) and Michigan (SB 762): </w:t>
      </w:r>
      <w:r>
        <w:t>quarterly or annual water reporting, and in Iowa a separate water-utility customer class for facilities of 20 MW or more.</w:t>
      </w:r>
    </w:p>
    <w:p w14:paraId="565C2BF5" w14:textId="77777777" w:rsidR="002F7CD0" w:rsidRDefault="00000000">
      <w:pPr>
        <w:spacing w:after="140" w:line="288" w:lineRule="auto"/>
      </w:pPr>
      <w:r>
        <w:rPr>
          <w:i/>
          <w:iCs/>
          <w:color w:val="595959"/>
          <w:sz w:val="19"/>
          <w:szCs w:val="19"/>
        </w:rPr>
        <w:t xml:space="preserve">These were introduced in 2026 sessions; enactment had </w:t>
      </w:r>
      <w:proofErr w:type="gramStart"/>
      <w:r>
        <w:rPr>
          <w:i/>
          <w:iCs/>
          <w:color w:val="595959"/>
          <w:sz w:val="19"/>
          <w:szCs w:val="19"/>
        </w:rPr>
        <w:t>not been</w:t>
      </w:r>
      <w:proofErr w:type="gramEnd"/>
      <w:r>
        <w:rPr>
          <w:i/>
          <w:iCs/>
          <w:color w:val="595959"/>
          <w:sz w:val="19"/>
          <w:szCs w:val="19"/>
        </w:rPr>
        <w:t xml:space="preserve"> confirmed at the time of writing.</w:t>
      </w:r>
    </w:p>
    <w:p w14:paraId="290F340A" w14:textId="77777777" w:rsidR="002F7CD0" w:rsidRDefault="00000000">
      <w:pPr>
        <w:pStyle w:val="Heading2"/>
        <w:spacing w:before="220" w:after="100"/>
      </w:pPr>
      <w:r>
        <w:rPr>
          <w:b/>
          <w:bCs/>
          <w:color w:val="2E75B6"/>
          <w:sz w:val="25"/>
          <w:szCs w:val="25"/>
        </w:rPr>
        <w:t>What it means for interconnection</w:t>
      </w:r>
    </w:p>
    <w:p w14:paraId="474C3BE6" w14:textId="77777777" w:rsidR="002F7CD0" w:rsidRDefault="00000000">
      <w:pPr>
        <w:spacing w:after="140" w:line="288" w:lineRule="auto"/>
      </w:pPr>
      <w:r>
        <w:t xml:space="preserve">The direction is the same as on the power side: disclosure first, then cost causation (California makes the project pay for water upgrades), then conditions on how the resource is used. Developers should expect water-scarcity designations to act like transmission constraints, steering campuses toward reclaimed water, closed-loop or dry cooling, and toward sites where those choices are affordable. Because the most water-efficient designs typically use more electricity, water rules will raise the very load forecasts that grid operators are now demanding. A sensible next step would be to report water-use effectiveness (WUE) and power-usage effectiveness (PUE) together </w:t>
      </w:r>
      <w:proofErr w:type="gramStart"/>
      <w:r>
        <w:t>in</w:t>
      </w:r>
      <w:proofErr w:type="gramEnd"/>
      <w:r>
        <w:t xml:space="preserve"> the same large-load registries now being built for the grid, so that regulators see both sides of the trade-off in one filing.</w:t>
      </w:r>
    </w:p>
    <w:p w14:paraId="52A2BF58" w14:textId="77777777" w:rsidR="002F7CD0" w:rsidRDefault="00000000">
      <w:pPr>
        <w:pStyle w:val="Heading1"/>
        <w:pBdr>
          <w:bottom w:val="single" w:sz="6" w:space="4" w:color="2E75B6"/>
        </w:pBdr>
        <w:spacing w:before="320" w:after="140"/>
      </w:pPr>
      <w:r>
        <w:rPr>
          <w:b/>
          <w:bCs/>
          <w:color w:val="1F3864"/>
          <w:sz w:val="30"/>
          <w:szCs w:val="30"/>
        </w:rPr>
        <w:t>Key References</w:t>
      </w:r>
    </w:p>
    <w:p w14:paraId="4893762C" w14:textId="77777777" w:rsidR="002F7CD0" w:rsidRDefault="00000000">
      <w:pPr>
        <w:pStyle w:val="ListParagraph"/>
        <w:numPr>
          <w:ilvl w:val="0"/>
          <w:numId w:val="4"/>
        </w:numPr>
        <w:spacing w:after="60"/>
      </w:pPr>
      <w:r>
        <w:rPr>
          <w:sz w:val="19"/>
          <w:szCs w:val="19"/>
        </w:rPr>
        <w:t>DOE Section 403 ANOPR, FERC Docket RM26-4-000 (Oct 23, 2025); FERC Order Regarding Intent to Act (Apr 16, 2026)</w:t>
      </w:r>
    </w:p>
    <w:p w14:paraId="5C2962B4" w14:textId="77777777" w:rsidR="002F7CD0" w:rsidRDefault="00000000">
      <w:pPr>
        <w:pStyle w:val="ListParagraph"/>
        <w:numPr>
          <w:ilvl w:val="0"/>
          <w:numId w:val="4"/>
        </w:numPr>
        <w:spacing w:after="60"/>
      </w:pPr>
      <w:r>
        <w:rPr>
          <w:sz w:val="19"/>
          <w:szCs w:val="19"/>
        </w:rPr>
        <w:t>FERC Section 206 show-cause orders, Dockets EL26-67 to EL26-72, 195 FERC ¶ 61,211–61,216 (June 18, 2026)</w:t>
      </w:r>
    </w:p>
    <w:p w14:paraId="3ABC82BC" w14:textId="77777777" w:rsidR="002F7CD0" w:rsidRDefault="00000000">
      <w:pPr>
        <w:pStyle w:val="ListParagraph"/>
        <w:numPr>
          <w:ilvl w:val="0"/>
          <w:numId w:val="4"/>
        </w:numPr>
        <w:spacing w:after="60"/>
      </w:pPr>
      <w:r>
        <w:rPr>
          <w:sz w:val="19"/>
          <w:szCs w:val="19"/>
        </w:rPr>
        <w:t>FERC PJM co-location order, EL25-49 (Dec 18, 2025) and further compliance order, 195 FERC ¶ 61,209 (June 18, 2026)</w:t>
      </w:r>
    </w:p>
    <w:p w14:paraId="6CF03CFD" w14:textId="77777777" w:rsidR="002F7CD0" w:rsidRDefault="00000000">
      <w:pPr>
        <w:pStyle w:val="ListParagraph"/>
        <w:numPr>
          <w:ilvl w:val="0"/>
          <w:numId w:val="4"/>
        </w:numPr>
        <w:spacing w:after="60"/>
      </w:pPr>
      <w:r>
        <w:rPr>
          <w:sz w:val="19"/>
          <w:szCs w:val="19"/>
        </w:rPr>
        <w:t>PJM Board decisional letter (July 27, 2026); PJM filings ER26-3380 (backstop procurement) and ER26-3515 (IRAS / Large Load Registry)</w:t>
      </w:r>
    </w:p>
    <w:p w14:paraId="576095D1" w14:textId="77777777" w:rsidR="002F7CD0" w:rsidRDefault="00000000">
      <w:pPr>
        <w:pStyle w:val="ListParagraph"/>
        <w:numPr>
          <w:ilvl w:val="0"/>
          <w:numId w:val="4"/>
        </w:numPr>
        <w:spacing w:after="60"/>
      </w:pPr>
      <w:r>
        <w:rPr>
          <w:sz w:val="19"/>
          <w:szCs w:val="19"/>
        </w:rPr>
        <w:t>PJM Manual 14H (cycle process deposits); PJM Expedited Interconnection Track (ER26-1563)</w:t>
      </w:r>
    </w:p>
    <w:p w14:paraId="2F605FF3" w14:textId="77777777" w:rsidR="002F7CD0" w:rsidRDefault="00000000">
      <w:pPr>
        <w:pStyle w:val="ListParagraph"/>
        <w:numPr>
          <w:ilvl w:val="0"/>
          <w:numId w:val="4"/>
        </w:numPr>
        <w:spacing w:after="60"/>
      </w:pPr>
      <w:r>
        <w:rPr>
          <w:sz w:val="19"/>
          <w:szCs w:val="19"/>
        </w:rPr>
        <w:t>SPP RR 696 and FERC order accepting HILL/HILLGA, ER26-247 (Jan 14, 2026)</w:t>
      </w:r>
    </w:p>
    <w:p w14:paraId="1F4DABC5" w14:textId="77777777" w:rsidR="002F7CD0" w:rsidRDefault="00000000">
      <w:pPr>
        <w:pStyle w:val="ListParagraph"/>
        <w:numPr>
          <w:ilvl w:val="0"/>
          <w:numId w:val="4"/>
        </w:numPr>
        <w:spacing w:after="60"/>
      </w:pPr>
      <w:r>
        <w:rPr>
          <w:sz w:val="19"/>
          <w:szCs w:val="19"/>
        </w:rPr>
        <w:t>MISO MTEP25 Report; MISO Large Load Working Group materials (July–Aug 2026); MISO LARS proposal; MISO ERAS (ER25-1674)</w:t>
      </w:r>
    </w:p>
    <w:p w14:paraId="01C36AC7" w14:textId="77777777" w:rsidR="002F7CD0" w:rsidRDefault="00000000">
      <w:pPr>
        <w:pStyle w:val="ListParagraph"/>
        <w:numPr>
          <w:ilvl w:val="0"/>
          <w:numId w:val="4"/>
        </w:numPr>
        <w:spacing w:after="60"/>
      </w:pPr>
      <w:r>
        <w:rPr>
          <w:sz w:val="19"/>
          <w:szCs w:val="19"/>
        </w:rPr>
        <w:t>Maryland OPC v. PJM, EL26-63 (May 7, 2026); FERC orders on ComEd Transmission Security Agreements (Feb–Mar 2026)</w:t>
      </w:r>
    </w:p>
    <w:p w14:paraId="40E40F56" w14:textId="77777777" w:rsidR="002F7CD0" w:rsidRDefault="00000000">
      <w:pPr>
        <w:pStyle w:val="ListParagraph"/>
        <w:numPr>
          <w:ilvl w:val="0"/>
          <w:numId w:val="4"/>
        </w:numPr>
        <w:spacing w:after="60"/>
      </w:pPr>
      <w:r>
        <w:rPr>
          <w:sz w:val="19"/>
          <w:szCs w:val="19"/>
        </w:rPr>
        <w:t>Texas SB 6 (2025); PUCT large-load interconnection rule, Project 58481 (Sept 18, 2026); PUCT approval of ERCOT Batch Zero, NPRR1325/PGRR145 (June 18, 2026); ERCOT Batch Zero update (Sept 2026); Governor’s data center audit directive (Aug 3, 2026)</w:t>
      </w:r>
    </w:p>
    <w:p w14:paraId="082D352F" w14:textId="77777777" w:rsidR="002F7CD0" w:rsidRDefault="00000000">
      <w:pPr>
        <w:pStyle w:val="ListParagraph"/>
        <w:numPr>
          <w:ilvl w:val="0"/>
          <w:numId w:val="4"/>
        </w:numPr>
        <w:spacing w:after="60"/>
      </w:pPr>
      <w:r>
        <w:rPr>
          <w:sz w:val="19"/>
          <w:szCs w:val="19"/>
        </w:rPr>
        <w:t>Lawrence Berkeley National Laboratory, Queued Up: 2026 Edition (June 2026)</w:t>
      </w:r>
    </w:p>
    <w:p w14:paraId="495DF582" w14:textId="77777777" w:rsidR="002F7CD0" w:rsidRDefault="00000000">
      <w:pPr>
        <w:pStyle w:val="ListParagraph"/>
        <w:numPr>
          <w:ilvl w:val="0"/>
          <w:numId w:val="4"/>
        </w:numPr>
        <w:spacing w:after="60"/>
      </w:pPr>
      <w:r>
        <w:rPr>
          <w:sz w:val="19"/>
          <w:szCs w:val="19"/>
        </w:rPr>
        <w:t>NERC Large Load Task Force white papers (2025; March 2026); Level 2 alert (Sept 2025); Level 3 Essential Actions alert (May 2026)</w:t>
      </w:r>
    </w:p>
    <w:p w14:paraId="34A0673A" w14:textId="77777777" w:rsidR="002F7CD0" w:rsidRDefault="00000000">
      <w:pPr>
        <w:pStyle w:val="ListParagraph"/>
        <w:numPr>
          <w:ilvl w:val="0"/>
          <w:numId w:val="4"/>
        </w:numPr>
        <w:spacing w:after="60"/>
      </w:pPr>
      <w:r>
        <w:rPr>
          <w:sz w:val="19"/>
          <w:szCs w:val="19"/>
        </w:rPr>
        <w:t>FERC order directing computational-load reliability standards, Docket RD26-7 (July 16, 2026); NERC Rules of Procedure posting on Computational Load Owner/Operator registration (Aug 19, 2026); NERC Large Loads Action Plan</w:t>
      </w:r>
    </w:p>
    <w:p w14:paraId="08A4DE3C" w14:textId="77777777" w:rsidR="002F7CD0" w:rsidRDefault="00000000">
      <w:pPr>
        <w:pStyle w:val="ListParagraph"/>
        <w:numPr>
          <w:ilvl w:val="0"/>
          <w:numId w:val="4"/>
        </w:numPr>
        <w:spacing w:after="60"/>
      </w:pPr>
      <w:r>
        <w:rPr>
          <w:sz w:val="19"/>
          <w:szCs w:val="19"/>
        </w:rPr>
        <w:t>Virginia 2026 water reporting law and Executive Order 22 (Sept 18, 2026); Texas Governor directives to TWDB (Sept 14, 2026) and TCEQ (Sept 21, 2026); Pennsylvania executive order on data centers (Aug 20, 2026) and HB 2246; Kentucky Executive Order 2026-494 (Aug 6, 2026) and HB 856; California data center package incl. AB 1577, AB 2469, AB 2619 (Sept 21, 2026); Minnesota HF 16 (2025); Tucson large water user ordinance (Aug 2026)</w:t>
      </w:r>
    </w:p>
    <w:p w14:paraId="37EE662F" w14:textId="77777777" w:rsidR="002F7CD0" w:rsidRDefault="00000000">
      <w:pPr>
        <w:pStyle w:val="ListParagraph"/>
        <w:numPr>
          <w:ilvl w:val="0"/>
          <w:numId w:val="4"/>
        </w:numPr>
        <w:spacing w:after="60"/>
      </w:pPr>
      <w:r>
        <w:rPr>
          <w:sz w:val="19"/>
          <w:szCs w:val="19"/>
        </w:rPr>
        <w:t xml:space="preserve">EPRI </w:t>
      </w:r>
      <w:proofErr w:type="spellStart"/>
      <w:r>
        <w:rPr>
          <w:sz w:val="19"/>
          <w:szCs w:val="19"/>
        </w:rPr>
        <w:t>DCFlex</w:t>
      </w:r>
      <w:proofErr w:type="spellEnd"/>
    </w:p>
    <w:p w14:paraId="4FD2F05D" w14:textId="77777777" w:rsidR="002F7CD0" w:rsidRDefault="00000000">
      <w:pPr>
        <w:spacing w:before="200"/>
      </w:pPr>
      <w:r>
        <w:rPr>
          <w:i/>
          <w:iCs/>
          <w:color w:val="595959"/>
          <w:sz w:val="17"/>
          <w:szCs w:val="17"/>
        </w:rPr>
        <w:t>Status reflects public filings and reporting through early October 2026; several items remain pending at FERC and may change.</w:t>
      </w:r>
    </w:p>
    <w:sectPr w:rsidR="002F7CD0">
      <w:footerReference w:type="default" r:id="rId9"/>
      <w:pgSz w:w="12240" w:h="15840"/>
      <w:pgMar w:top="126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A31D3" w14:textId="77777777" w:rsidR="00875C82" w:rsidRDefault="00875C82">
      <w:r>
        <w:separator/>
      </w:r>
    </w:p>
  </w:endnote>
  <w:endnote w:type="continuationSeparator" w:id="0">
    <w:p w14:paraId="67F8F98E" w14:textId="77777777" w:rsidR="00875C82" w:rsidRDefault="00875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17B82" w14:textId="77777777" w:rsidR="002F7CD0" w:rsidRDefault="00000000">
    <w:pPr>
      <w:jc w:val="right"/>
    </w:pPr>
    <w:r>
      <w:rPr>
        <w:color w:val="595959"/>
        <w:sz w:val="16"/>
        <w:szCs w:val="16"/>
      </w:rPr>
      <w:t xml:space="preserve">Large Load Interconnection — October 2026 </w:t>
    </w:r>
    <w:proofErr w:type="gramStart"/>
    <w:r>
      <w:rPr>
        <w:color w:val="595959"/>
        <w:sz w:val="16"/>
        <w:szCs w:val="16"/>
      </w:rPr>
      <w:t>update  |</w:t>
    </w:r>
    <w:proofErr w:type="gram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sidR="00B53105">
      <w:rPr>
        <w:noProof/>
        <w:color w:val="595959"/>
        <w:sz w:val="16"/>
        <w:szCs w:val="16"/>
      </w:rPr>
      <w:t>1</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20C8" w14:textId="7C51A405" w:rsidR="002F7CD0" w:rsidRDefault="00000000">
    <w:pPr>
      <w:jc w:val="right"/>
    </w:pPr>
    <w:r>
      <w:rPr>
        <w:color w:val="595959"/>
        <w:sz w:val="16"/>
        <w:szCs w:val="16"/>
      </w:rPr>
      <w:t xml:space="preserve">Large Load Interconnection — October 2026 </w:t>
    </w:r>
    <w:proofErr w:type="gramStart"/>
    <w:r>
      <w:rPr>
        <w:color w:val="595959"/>
        <w:sz w:val="16"/>
        <w:szCs w:val="16"/>
      </w:rPr>
      <w:t>update  |</w:t>
    </w:r>
    <w:proofErr w:type="gram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sidR="00B53105">
      <w:rPr>
        <w:noProof/>
        <w:color w:val="595959"/>
        <w:sz w:val="16"/>
        <w:szCs w:val="16"/>
      </w:rPr>
      <w:t>4</w:t>
    </w:r>
    <w:r>
      <w:rPr>
        <w:color w:val="59595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0EE0" w14:textId="10B3D3B3" w:rsidR="002F7CD0" w:rsidRDefault="00000000">
    <w:pPr>
      <w:jc w:val="right"/>
    </w:pPr>
    <w:r>
      <w:rPr>
        <w:color w:val="595959"/>
        <w:sz w:val="16"/>
        <w:szCs w:val="16"/>
      </w:rPr>
      <w:t xml:space="preserve">Large Load Interconnection — October 2026 </w:t>
    </w:r>
    <w:proofErr w:type="gramStart"/>
    <w:r>
      <w:rPr>
        <w:color w:val="595959"/>
        <w:sz w:val="16"/>
        <w:szCs w:val="16"/>
      </w:rPr>
      <w:t>update  |</w:t>
    </w:r>
    <w:proofErr w:type="gram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sidR="00B53105">
      <w:rPr>
        <w:noProof/>
        <w:color w:val="595959"/>
        <w:sz w:val="16"/>
        <w:szCs w:val="16"/>
      </w:rPr>
      <w:t>6</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36C8E" w14:textId="77777777" w:rsidR="00875C82" w:rsidRDefault="00875C82">
      <w:r>
        <w:separator/>
      </w:r>
    </w:p>
  </w:footnote>
  <w:footnote w:type="continuationSeparator" w:id="0">
    <w:p w14:paraId="3DC9C7CF" w14:textId="77777777" w:rsidR="00875C82" w:rsidRDefault="00875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0944"/>
    <w:multiLevelType w:val="hybridMultilevel"/>
    <w:tmpl w:val="38D84724"/>
    <w:lvl w:ilvl="0" w:tplc="B4FEF72C">
      <w:start w:val="1"/>
      <w:numFmt w:val="bullet"/>
      <w:lvlText w:val="●"/>
      <w:lvlJc w:val="left"/>
      <w:pPr>
        <w:ind w:left="720" w:hanging="360"/>
      </w:pPr>
    </w:lvl>
    <w:lvl w:ilvl="1" w:tplc="12C0A13E">
      <w:start w:val="1"/>
      <w:numFmt w:val="bullet"/>
      <w:lvlText w:val="○"/>
      <w:lvlJc w:val="left"/>
      <w:pPr>
        <w:ind w:left="1440" w:hanging="360"/>
      </w:pPr>
    </w:lvl>
    <w:lvl w:ilvl="2" w:tplc="35E4EF36">
      <w:start w:val="1"/>
      <w:numFmt w:val="bullet"/>
      <w:lvlText w:val="■"/>
      <w:lvlJc w:val="left"/>
      <w:pPr>
        <w:ind w:left="2160" w:hanging="360"/>
      </w:pPr>
    </w:lvl>
    <w:lvl w:ilvl="3" w:tplc="B1049514">
      <w:start w:val="1"/>
      <w:numFmt w:val="bullet"/>
      <w:lvlText w:val="●"/>
      <w:lvlJc w:val="left"/>
      <w:pPr>
        <w:ind w:left="2880" w:hanging="360"/>
      </w:pPr>
    </w:lvl>
    <w:lvl w:ilvl="4" w:tplc="AE0EE20C">
      <w:start w:val="1"/>
      <w:numFmt w:val="bullet"/>
      <w:lvlText w:val="○"/>
      <w:lvlJc w:val="left"/>
      <w:pPr>
        <w:ind w:left="3600" w:hanging="360"/>
      </w:pPr>
    </w:lvl>
    <w:lvl w:ilvl="5" w:tplc="6F1E4724">
      <w:start w:val="1"/>
      <w:numFmt w:val="bullet"/>
      <w:lvlText w:val="■"/>
      <w:lvlJc w:val="left"/>
      <w:pPr>
        <w:ind w:left="4320" w:hanging="360"/>
      </w:pPr>
    </w:lvl>
    <w:lvl w:ilvl="6" w:tplc="B5BA3CA4">
      <w:start w:val="1"/>
      <w:numFmt w:val="bullet"/>
      <w:lvlText w:val="●"/>
      <w:lvlJc w:val="left"/>
      <w:pPr>
        <w:ind w:left="5040" w:hanging="360"/>
      </w:pPr>
    </w:lvl>
    <w:lvl w:ilvl="7" w:tplc="D7A0A666">
      <w:start w:val="1"/>
      <w:numFmt w:val="bullet"/>
      <w:lvlText w:val="●"/>
      <w:lvlJc w:val="left"/>
      <w:pPr>
        <w:ind w:left="5760" w:hanging="360"/>
      </w:pPr>
    </w:lvl>
    <w:lvl w:ilvl="8" w:tplc="0B54E666">
      <w:start w:val="1"/>
      <w:numFmt w:val="bullet"/>
      <w:lvlText w:val="●"/>
      <w:lvlJc w:val="left"/>
      <w:pPr>
        <w:ind w:left="6480" w:hanging="360"/>
      </w:pPr>
    </w:lvl>
  </w:abstractNum>
  <w:abstractNum w:abstractNumId="1" w15:restartNumberingAfterBreak="0">
    <w:nsid w:val="3D982BB8"/>
    <w:multiLevelType w:val="hybridMultilevel"/>
    <w:tmpl w:val="ED742A12"/>
    <w:lvl w:ilvl="0" w:tplc="4468CFA8">
      <w:start w:val="1"/>
      <w:numFmt w:val="decimal"/>
      <w:lvlText w:val="%1."/>
      <w:lvlJc w:val="left"/>
      <w:pPr>
        <w:ind w:left="360" w:hanging="300"/>
      </w:pPr>
    </w:lvl>
    <w:lvl w:ilvl="1" w:tplc="F4ECBB92">
      <w:numFmt w:val="decimal"/>
      <w:lvlText w:val=""/>
      <w:lvlJc w:val="left"/>
    </w:lvl>
    <w:lvl w:ilvl="2" w:tplc="8494B0F0">
      <w:numFmt w:val="decimal"/>
      <w:lvlText w:val=""/>
      <w:lvlJc w:val="left"/>
    </w:lvl>
    <w:lvl w:ilvl="3" w:tplc="71BE1D34">
      <w:numFmt w:val="decimal"/>
      <w:lvlText w:val=""/>
      <w:lvlJc w:val="left"/>
    </w:lvl>
    <w:lvl w:ilvl="4" w:tplc="97008270">
      <w:numFmt w:val="decimal"/>
      <w:lvlText w:val=""/>
      <w:lvlJc w:val="left"/>
    </w:lvl>
    <w:lvl w:ilvl="5" w:tplc="74B4BD0C">
      <w:numFmt w:val="decimal"/>
      <w:lvlText w:val=""/>
      <w:lvlJc w:val="left"/>
    </w:lvl>
    <w:lvl w:ilvl="6" w:tplc="EB269DC6">
      <w:numFmt w:val="decimal"/>
      <w:lvlText w:val=""/>
      <w:lvlJc w:val="left"/>
    </w:lvl>
    <w:lvl w:ilvl="7" w:tplc="5234F724">
      <w:numFmt w:val="decimal"/>
      <w:lvlText w:val=""/>
      <w:lvlJc w:val="left"/>
    </w:lvl>
    <w:lvl w:ilvl="8" w:tplc="D2E077C0">
      <w:numFmt w:val="decimal"/>
      <w:lvlText w:val=""/>
      <w:lvlJc w:val="left"/>
    </w:lvl>
  </w:abstractNum>
  <w:abstractNum w:abstractNumId="2" w15:restartNumberingAfterBreak="0">
    <w:nsid w:val="3EC07F31"/>
    <w:multiLevelType w:val="hybridMultilevel"/>
    <w:tmpl w:val="AEC2BBF0"/>
    <w:lvl w:ilvl="0" w:tplc="9220580A">
      <w:start w:val="1"/>
      <w:numFmt w:val="decimal"/>
      <w:lvlText w:val="%1."/>
      <w:lvlJc w:val="left"/>
      <w:pPr>
        <w:ind w:left="360" w:hanging="300"/>
      </w:pPr>
    </w:lvl>
    <w:lvl w:ilvl="1" w:tplc="140EBC84">
      <w:numFmt w:val="decimal"/>
      <w:lvlText w:val=""/>
      <w:lvlJc w:val="left"/>
    </w:lvl>
    <w:lvl w:ilvl="2" w:tplc="CC4402CC">
      <w:numFmt w:val="decimal"/>
      <w:lvlText w:val=""/>
      <w:lvlJc w:val="left"/>
    </w:lvl>
    <w:lvl w:ilvl="3" w:tplc="B77E13FC">
      <w:numFmt w:val="decimal"/>
      <w:lvlText w:val=""/>
      <w:lvlJc w:val="left"/>
    </w:lvl>
    <w:lvl w:ilvl="4" w:tplc="F74E08F4">
      <w:numFmt w:val="decimal"/>
      <w:lvlText w:val=""/>
      <w:lvlJc w:val="left"/>
    </w:lvl>
    <w:lvl w:ilvl="5" w:tplc="CD40C22E">
      <w:numFmt w:val="decimal"/>
      <w:lvlText w:val=""/>
      <w:lvlJc w:val="left"/>
    </w:lvl>
    <w:lvl w:ilvl="6" w:tplc="D35E7DB4">
      <w:numFmt w:val="decimal"/>
      <w:lvlText w:val=""/>
      <w:lvlJc w:val="left"/>
    </w:lvl>
    <w:lvl w:ilvl="7" w:tplc="F4D42ADE">
      <w:numFmt w:val="decimal"/>
      <w:lvlText w:val=""/>
      <w:lvlJc w:val="left"/>
    </w:lvl>
    <w:lvl w:ilvl="8" w:tplc="DDC4490C">
      <w:numFmt w:val="decimal"/>
      <w:lvlText w:val=""/>
      <w:lvlJc w:val="left"/>
    </w:lvl>
  </w:abstractNum>
  <w:abstractNum w:abstractNumId="3" w15:restartNumberingAfterBreak="0">
    <w:nsid w:val="430F6A79"/>
    <w:multiLevelType w:val="hybridMultilevel"/>
    <w:tmpl w:val="D7FC5D50"/>
    <w:lvl w:ilvl="0" w:tplc="4C08582A">
      <w:start w:val="1"/>
      <w:numFmt w:val="bullet"/>
      <w:lvlText w:val="•"/>
      <w:lvlJc w:val="left"/>
      <w:pPr>
        <w:ind w:left="360" w:hanging="240"/>
      </w:pPr>
    </w:lvl>
    <w:lvl w:ilvl="1" w:tplc="D0F83EAA">
      <w:numFmt w:val="decimal"/>
      <w:lvlText w:val=""/>
      <w:lvlJc w:val="left"/>
    </w:lvl>
    <w:lvl w:ilvl="2" w:tplc="5EFE8C40">
      <w:numFmt w:val="decimal"/>
      <w:lvlText w:val=""/>
      <w:lvlJc w:val="left"/>
    </w:lvl>
    <w:lvl w:ilvl="3" w:tplc="0B9499E4">
      <w:numFmt w:val="decimal"/>
      <w:lvlText w:val=""/>
      <w:lvlJc w:val="left"/>
    </w:lvl>
    <w:lvl w:ilvl="4" w:tplc="3DBA869A">
      <w:numFmt w:val="decimal"/>
      <w:lvlText w:val=""/>
      <w:lvlJc w:val="left"/>
    </w:lvl>
    <w:lvl w:ilvl="5" w:tplc="5F70C89A">
      <w:numFmt w:val="decimal"/>
      <w:lvlText w:val=""/>
      <w:lvlJc w:val="left"/>
    </w:lvl>
    <w:lvl w:ilvl="6" w:tplc="4DF05FC2">
      <w:numFmt w:val="decimal"/>
      <w:lvlText w:val=""/>
      <w:lvlJc w:val="left"/>
    </w:lvl>
    <w:lvl w:ilvl="7" w:tplc="11A0A936">
      <w:numFmt w:val="decimal"/>
      <w:lvlText w:val=""/>
      <w:lvlJc w:val="left"/>
    </w:lvl>
    <w:lvl w:ilvl="8" w:tplc="095ECB68">
      <w:numFmt w:val="decimal"/>
      <w:lvlText w:val=""/>
      <w:lvlJc w:val="left"/>
    </w:lvl>
  </w:abstractNum>
  <w:num w:numId="1" w16cid:durableId="2070836636">
    <w:abstractNumId w:val="0"/>
    <w:lvlOverride w:ilvl="0">
      <w:startOverride w:val="1"/>
    </w:lvlOverride>
  </w:num>
  <w:num w:numId="2" w16cid:durableId="1032613669">
    <w:abstractNumId w:val="3"/>
    <w:lvlOverride w:ilvl="0">
      <w:startOverride w:val="1"/>
    </w:lvlOverride>
  </w:num>
  <w:num w:numId="3" w16cid:durableId="1457600844">
    <w:abstractNumId w:val="1"/>
    <w:lvlOverride w:ilvl="0">
      <w:startOverride w:val="1"/>
    </w:lvlOverride>
  </w:num>
  <w:num w:numId="4" w16cid:durableId="3227098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CD0"/>
    <w:rsid w:val="00060B75"/>
    <w:rsid w:val="000A43D5"/>
    <w:rsid w:val="002F7CD0"/>
    <w:rsid w:val="006C2BED"/>
    <w:rsid w:val="00875C82"/>
    <w:rsid w:val="00B53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EA736"/>
  <w15:docId w15:val="{6FF6E638-DDF2-43DB-A11C-D02CEB3B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2363</TotalTime>
  <Pages>19</Pages>
  <Words>7930</Words>
  <Characters>45201</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When the Data Center Became a Power Plant Problem</vt:lpstr>
    </vt:vector>
  </TitlesOfParts>
  <Company/>
  <LinksUpToDate>false</LinksUpToDate>
  <CharactersWithSpaces>53025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the Data Center Became a Power Plant Problem</dc:title>
  <dc:creator>PJ</dc:creator>
  <cp:lastModifiedBy>Pramod Jain (Прамод Джайн)</cp:lastModifiedBy>
  <cp:revision>3</cp:revision>
  <dcterms:created xsi:type="dcterms:W3CDTF">2026-10-02T14:53:00Z</dcterms:created>
  <dcterms:modified xsi:type="dcterms:W3CDTF">2026-10-08T01:27:00Z</dcterms:modified>
</cp:coreProperties>
</file>